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7C01F772" w14:textId="53BE6507" w:rsidR="002D7A5A" w:rsidRPr="00974048" w:rsidRDefault="002D7A5A" w:rsidP="002D7A5A">
      <w:pPr>
        <w:pStyle w:val="bellezanormal0"/>
        <w:rPr>
          <w:rFonts w:eastAsia="Cambria"/>
          <w:color w:val="000000" w:themeColor="text1"/>
        </w:rPr>
      </w:pPr>
      <w:r w:rsidRPr="00974048">
        <w:rPr>
          <w:rFonts w:eastAsia="Cambria"/>
          <w:color w:val="000000" w:themeColor="text1"/>
        </w:rPr>
        <w:t>Washington Department of Ecology</w:t>
      </w:r>
    </w:p>
    <w:p w14:paraId="727ED483" w14:textId="77777777" w:rsidR="002D7A5A" w:rsidRPr="00974048" w:rsidRDefault="002D7A5A" w:rsidP="002D7A5A">
      <w:pPr>
        <w:pStyle w:val="bellezanormal0"/>
        <w:rPr>
          <w:rFonts w:eastAsia="Cambria"/>
          <w:color w:val="000000" w:themeColor="text1"/>
        </w:rPr>
      </w:pPr>
      <w:r w:rsidRPr="00974048">
        <w:rPr>
          <w:rFonts w:eastAsia="Cambria"/>
          <w:color w:val="000000" w:themeColor="text1"/>
        </w:rPr>
        <w:t xml:space="preserve">Attn: Carlos Clements, Program Manager, Oil Spill Prevention and Response </w:t>
      </w:r>
    </w:p>
    <w:p w14:paraId="06AB886D" w14:textId="77777777" w:rsidR="002D7A5A" w:rsidRPr="00974048" w:rsidRDefault="002D7A5A" w:rsidP="002D7A5A">
      <w:pPr>
        <w:pStyle w:val="bellezanormal0"/>
        <w:rPr>
          <w:rFonts w:eastAsia="Cambria"/>
          <w:color w:val="000000" w:themeColor="text1"/>
        </w:rPr>
      </w:pPr>
      <w:r w:rsidRPr="00974048">
        <w:rPr>
          <w:rFonts w:eastAsia="Cambria"/>
          <w:color w:val="000000" w:themeColor="text1"/>
        </w:rPr>
        <w:t xml:space="preserve">EMAIL:  </w:t>
      </w:r>
      <w:hyperlink r:id="rId8" w:history="1">
        <w:r w:rsidRPr="00974048">
          <w:rPr>
            <w:rStyle w:val="Hyperlink"/>
            <w:rFonts w:eastAsia="Cambria"/>
            <w:color w:val="000000" w:themeColor="text1"/>
          </w:rPr>
          <w:t>carlos.clements@ecy.wa.gov</w:t>
        </w:r>
      </w:hyperlink>
      <w:r w:rsidRPr="00974048">
        <w:rPr>
          <w:rFonts w:eastAsia="Cambria"/>
          <w:color w:val="000000" w:themeColor="text1"/>
        </w:rPr>
        <w:t xml:space="preserve"> </w:t>
      </w:r>
    </w:p>
    <w:p w14:paraId="7D9D612F" w14:textId="77777777" w:rsidR="002D7A5A" w:rsidRPr="00974048" w:rsidRDefault="002D7A5A" w:rsidP="002D7A5A">
      <w:pPr>
        <w:pStyle w:val="bellezanormal0"/>
        <w:rPr>
          <w:rFonts w:eastAsia="Cambria"/>
          <w:color w:val="000000" w:themeColor="text1"/>
        </w:rPr>
      </w:pPr>
    </w:p>
    <w:p w14:paraId="19A652FE" w14:textId="77777777" w:rsidR="002D7A5A" w:rsidRPr="00974048" w:rsidRDefault="002D7A5A" w:rsidP="002D7A5A">
      <w:pPr>
        <w:pStyle w:val="bellezanormal0"/>
        <w:rPr>
          <w:rFonts w:eastAsia="Cambria"/>
          <w:color w:val="000000" w:themeColor="text1"/>
        </w:rPr>
      </w:pPr>
    </w:p>
    <w:p w14:paraId="1CCAAAF9" w14:textId="2169AC81" w:rsidR="002D7A5A" w:rsidRPr="00974048" w:rsidRDefault="002D7A5A" w:rsidP="002D7A5A">
      <w:pPr>
        <w:pStyle w:val="bellezanormal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Pr>
          <w:rFonts w:eastAsia="Cambria"/>
          <w:color w:val="000000" w:themeColor="text1"/>
        </w:rPr>
        <w:t xml:space="preserve">to </w:t>
      </w:r>
      <w:r>
        <w:t xml:space="preserve">ensure </w:t>
      </w:r>
      <w:r>
        <w:t xml:space="preserve">oil spill response </w:t>
      </w:r>
      <w:r>
        <w:t>plans work as intended and do not cause more harm</w:t>
      </w:r>
      <w:r w:rsidR="00566BB0">
        <w:rPr>
          <w:rFonts w:eastAsia="Cambria"/>
          <w:color w:val="000000" w:themeColor="text1"/>
        </w:rPr>
        <w:t>, specifically:</w:t>
      </w:r>
      <w:r w:rsidRPr="00974048">
        <w:rPr>
          <w:rFonts w:eastAsia="Cambria"/>
          <w:color w:val="000000" w:themeColor="text1"/>
        </w:rPr>
        <w:t xml:space="preserve"> </w:t>
      </w:r>
    </w:p>
    <w:p w14:paraId="260DDDFD" w14:textId="658DD9DA" w:rsidR="002D7A5A" w:rsidRPr="00974048" w:rsidRDefault="002D7A5A" w:rsidP="002E5D46">
      <w:pPr>
        <w:pStyle w:val="bellezanormal0"/>
        <w:tabs>
          <w:tab w:val="clear" w:pos="720"/>
        </w:tabs>
        <w:ind w:left="900" w:hanging="360"/>
        <w:rPr>
          <w:rFonts w:eastAsia="Cambria"/>
          <w:color w:val="000000" w:themeColor="text1"/>
        </w:rPr>
      </w:pPr>
      <w:r w:rsidRPr="00974048">
        <w:rPr>
          <w:rFonts w:eastAsia="Cambria"/>
          <w:color w:val="000000" w:themeColor="text1"/>
        </w:rPr>
        <w:t xml:space="preserve">(1) </w:t>
      </w:r>
      <w:r w:rsidR="002E5D46">
        <w:rPr>
          <w:rFonts w:eastAsia="Cambria"/>
          <w:color w:val="000000" w:themeColor="text1"/>
        </w:rPr>
        <w:tab/>
      </w:r>
      <w:r w:rsidR="00566BB0">
        <w:rPr>
          <w:rFonts w:eastAsia="Cambria"/>
          <w:color w:val="000000" w:themeColor="text1"/>
        </w:rPr>
        <w:t xml:space="preserve">Establish Worker Health Monitoring Units </w:t>
      </w:r>
      <w:r w:rsidR="00504968">
        <w:rPr>
          <w:rFonts w:eastAsia="Cambria"/>
          <w:color w:val="000000" w:themeColor="text1"/>
        </w:rPr>
        <w:t>as part of ACPs</w:t>
      </w:r>
      <w:r w:rsidR="0053792F">
        <w:rPr>
          <w:rFonts w:eastAsia="Cambria"/>
          <w:color w:val="000000" w:themeColor="text1"/>
        </w:rPr>
        <w:t>,</w:t>
      </w:r>
      <w:r w:rsidR="00504968">
        <w:rPr>
          <w:rFonts w:eastAsia="Cambria"/>
          <w:color w:val="000000" w:themeColor="text1"/>
        </w:rPr>
        <w:t xml:space="preserve"> </w:t>
      </w:r>
      <w:r w:rsidR="00566BB0">
        <w:rPr>
          <w:rFonts w:eastAsia="Cambria"/>
          <w:color w:val="000000" w:themeColor="text1"/>
        </w:rPr>
        <w:t xml:space="preserve">as recommended by the RRT 10/NWAC 2023 Health and Safety Task </w:t>
      </w:r>
      <w:hyperlink r:id="rId9" w:history="1">
        <w:r w:rsidR="00566BB0" w:rsidRPr="004C4F48">
          <w:rPr>
            <w:rStyle w:val="Hyperlink"/>
            <w:rFonts w:eastAsia="Cambria"/>
          </w:rPr>
          <w:t>Force</w:t>
        </w:r>
        <w:r w:rsidRPr="004C4F48">
          <w:rPr>
            <w:rStyle w:val="Hyperlink"/>
            <w:rFonts w:eastAsia="Cambria"/>
          </w:rPr>
          <w:t>;</w:t>
        </w:r>
      </w:hyperlink>
      <w:r w:rsidRPr="00974048">
        <w:rPr>
          <w:rFonts w:eastAsia="Cambria"/>
          <w:color w:val="000000" w:themeColor="text1"/>
        </w:rPr>
        <w:t xml:space="preserve"> </w:t>
      </w:r>
    </w:p>
    <w:p w14:paraId="7D09E9FB" w14:textId="03E34D7E" w:rsidR="002D7A5A" w:rsidRPr="00974048" w:rsidRDefault="002D7A5A" w:rsidP="002E5D46">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w:t>
      </w:r>
      <w:r w:rsidR="002E5D46">
        <w:rPr>
          <w:rFonts w:eastAsia="Cambria"/>
          <w:color w:val="000000" w:themeColor="text1"/>
        </w:rPr>
        <w:tab/>
      </w:r>
      <w:r w:rsidR="00566BB0">
        <w:rPr>
          <w:rFonts w:eastAsia="Cambria"/>
          <w:color w:val="000000" w:themeColor="text1"/>
        </w:rPr>
        <w:t xml:space="preserve">Establish </w:t>
      </w:r>
      <w:r w:rsidR="00566BB0">
        <w:rPr>
          <w:rFonts w:eastAsia="Cambria"/>
          <w:color w:val="000000" w:themeColor="text1"/>
        </w:rPr>
        <w:t>Public</w:t>
      </w:r>
      <w:r w:rsidR="00566BB0">
        <w:rPr>
          <w:rFonts w:eastAsia="Cambria"/>
          <w:color w:val="000000" w:themeColor="text1"/>
        </w:rPr>
        <w:t xml:space="preserve"> Health </w:t>
      </w:r>
      <w:r w:rsidR="00566BB0">
        <w:rPr>
          <w:rFonts w:eastAsia="Cambria"/>
          <w:color w:val="000000" w:themeColor="text1"/>
        </w:rPr>
        <w:t>Assessment</w:t>
      </w:r>
      <w:r w:rsidR="00566BB0">
        <w:rPr>
          <w:rFonts w:eastAsia="Cambria"/>
          <w:color w:val="000000" w:themeColor="text1"/>
        </w:rPr>
        <w:t xml:space="preserve"> Units </w:t>
      </w:r>
      <w:r w:rsidR="00504968">
        <w:rPr>
          <w:rFonts w:eastAsia="Cambria"/>
          <w:color w:val="000000" w:themeColor="text1"/>
        </w:rPr>
        <w:t>as part of ACPs</w:t>
      </w:r>
      <w:r w:rsidR="0053792F">
        <w:rPr>
          <w:rFonts w:eastAsia="Cambria"/>
          <w:color w:val="000000" w:themeColor="text1"/>
        </w:rPr>
        <w:t>,</w:t>
      </w:r>
      <w:r w:rsidR="00504968">
        <w:rPr>
          <w:rFonts w:eastAsia="Cambria"/>
          <w:color w:val="000000" w:themeColor="text1"/>
        </w:rPr>
        <w:t xml:space="preserve"> </w:t>
      </w:r>
      <w:r w:rsidR="00566BB0">
        <w:rPr>
          <w:rFonts w:eastAsia="Cambria"/>
          <w:color w:val="000000" w:themeColor="text1"/>
        </w:rPr>
        <w:t>as recommended by the RRT 10/NWAC 2023 Health and Safety Task Force</w:t>
      </w:r>
      <w:r w:rsidRPr="00974048">
        <w:rPr>
          <w:rFonts w:eastAsia="Cambria"/>
          <w:color w:val="000000" w:themeColor="text1"/>
        </w:rPr>
        <w:t>; and</w:t>
      </w:r>
    </w:p>
    <w:p w14:paraId="00622F6F" w14:textId="5E6D9045" w:rsidR="002D7A5A" w:rsidRPr="00974048" w:rsidRDefault="002D7A5A" w:rsidP="002E5D46">
      <w:pPr>
        <w:pStyle w:val="bellezanormal0"/>
        <w:tabs>
          <w:tab w:val="clear" w:pos="720"/>
        </w:tabs>
        <w:ind w:left="900" w:hanging="360"/>
        <w:rPr>
          <w:rFonts w:eastAsia="Cambria"/>
          <w:color w:val="000000" w:themeColor="text1"/>
        </w:rPr>
      </w:pPr>
      <w:r w:rsidRPr="00974048">
        <w:rPr>
          <w:rFonts w:eastAsia="Cambria"/>
          <w:color w:val="000000" w:themeColor="text1"/>
        </w:rPr>
        <w:t xml:space="preserve">(3) </w:t>
      </w:r>
      <w:r w:rsidR="002E5D46">
        <w:rPr>
          <w:rFonts w:eastAsia="Cambria"/>
          <w:color w:val="000000" w:themeColor="text1"/>
        </w:rPr>
        <w:tab/>
      </w:r>
      <w:r w:rsidR="00566BB0">
        <w:rPr>
          <w:rFonts w:eastAsia="Cambria"/>
          <w:color w:val="000000" w:themeColor="text1"/>
        </w:rPr>
        <w:t>Create a Regional Citizens’ Advisory Council</w:t>
      </w:r>
      <w:r w:rsidR="00504968">
        <w:rPr>
          <w:rFonts w:eastAsia="Cambria"/>
          <w:color w:val="000000" w:themeColor="text1"/>
        </w:rPr>
        <w:t xml:space="preserve"> as an independent support function for A</w:t>
      </w:r>
      <w:r w:rsidR="008C26BD">
        <w:rPr>
          <w:rFonts w:eastAsia="Cambria"/>
          <w:color w:val="000000" w:themeColor="text1"/>
        </w:rPr>
        <w:t>rea Committee</w:t>
      </w:r>
      <w:r w:rsidR="00504968">
        <w:rPr>
          <w:rFonts w:eastAsia="Cambria"/>
          <w:color w:val="000000" w:themeColor="text1"/>
        </w:rPr>
        <w:t>s</w:t>
      </w:r>
      <w:r w:rsidR="00566BB0">
        <w:rPr>
          <w:rFonts w:eastAsia="Cambria"/>
          <w:color w:val="000000" w:themeColor="text1"/>
        </w:rPr>
        <w:t xml:space="preserve"> </w:t>
      </w:r>
      <w:r w:rsidR="001F4086">
        <w:rPr>
          <w:rFonts w:eastAsia="Cambria"/>
          <w:color w:val="000000" w:themeColor="text1"/>
        </w:rPr>
        <w:t>as allowed by the Oil Pollution Act of 1990</w:t>
      </w:r>
      <w:r w:rsidR="00BF089B">
        <w:rPr>
          <w:rFonts w:eastAsia="Cambria"/>
          <w:color w:val="000000" w:themeColor="text1"/>
        </w:rPr>
        <w:t xml:space="preserve"> and recommended by the President’s Commission on the </w:t>
      </w:r>
      <w:r w:rsidR="00BF089B" w:rsidRPr="00BF089B">
        <w:rPr>
          <w:rFonts w:eastAsia="Cambria"/>
          <w:color w:val="000000" w:themeColor="text1"/>
        </w:rPr>
        <w:t>Deepwater Horizon</w:t>
      </w:r>
      <w:r w:rsidRPr="00974048">
        <w:rPr>
          <w:rFonts w:eastAsia="Cambria"/>
          <w:color w:val="000000" w:themeColor="text1"/>
        </w:rPr>
        <w:t>.</w:t>
      </w:r>
    </w:p>
    <w:p w14:paraId="51C2625B" w14:textId="77777777" w:rsidR="002D7A5A" w:rsidRPr="00974048" w:rsidRDefault="002D7A5A" w:rsidP="002D7A5A">
      <w:pPr>
        <w:pStyle w:val="bellezanormal0"/>
        <w:rPr>
          <w:color w:val="000000" w:themeColor="text1"/>
        </w:rPr>
      </w:pPr>
    </w:p>
    <w:p w14:paraId="3523AA9F" w14:textId="77777777" w:rsidR="002D7A5A" w:rsidRPr="00974048" w:rsidRDefault="002D7A5A" w:rsidP="002D7A5A">
      <w:pPr>
        <w:pStyle w:val="bellezanormal0"/>
        <w:rPr>
          <w:color w:val="000000" w:themeColor="text1"/>
        </w:rPr>
      </w:pPr>
      <w:r w:rsidRPr="00974048">
        <w:rPr>
          <w:color w:val="000000" w:themeColor="text1"/>
        </w:rPr>
        <w:t>Dear Mr. Clements,</w:t>
      </w:r>
    </w:p>
    <w:p w14:paraId="34556556" w14:textId="77777777" w:rsidR="002D7A5A" w:rsidRPr="00974048" w:rsidRDefault="002D7A5A" w:rsidP="002D7A5A">
      <w:pPr>
        <w:pStyle w:val="bellezanormal0"/>
        <w:rPr>
          <w:color w:val="000000" w:themeColor="text1"/>
        </w:rPr>
      </w:pPr>
    </w:p>
    <w:p w14:paraId="52FECE60" w14:textId="38C5C73E" w:rsidR="00E860BC" w:rsidRDefault="00E12C3E" w:rsidP="00E12C3E">
      <w:pPr>
        <w:pStyle w:val="bellezanormal0"/>
        <w:rPr>
          <w:color w:val="000000" w:themeColor="text1"/>
        </w:rPr>
      </w:pPr>
      <w:r>
        <w:tab/>
      </w:r>
      <w:r w:rsidRPr="00974048">
        <w:rPr>
          <w:color w:val="000000" w:themeColor="text1"/>
        </w:rPr>
        <w:t xml:space="preserve">We are </w:t>
      </w:r>
      <w:r w:rsidR="008F69E3">
        <w:rPr>
          <w:color w:val="000000" w:themeColor="text1"/>
        </w:rPr>
        <w:t>writing</w:t>
      </w:r>
      <w:r w:rsidRPr="00974048">
        <w:rPr>
          <w:color w:val="000000" w:themeColor="text1"/>
        </w:rPr>
        <w:t xml:space="preserve"> regarding </w:t>
      </w:r>
      <w:r w:rsidR="008F69E3">
        <w:rPr>
          <w:color w:val="000000" w:themeColor="text1"/>
        </w:rPr>
        <w:t xml:space="preserve">the current U.S. Coast Guard (USCG)-driven reorganization of the Northwest Area Plan into </w:t>
      </w:r>
      <w:r w:rsidR="00594C19">
        <w:rPr>
          <w:color w:val="000000" w:themeColor="text1"/>
        </w:rPr>
        <w:t xml:space="preserve">USCG </w:t>
      </w:r>
      <w:r w:rsidR="008F69E3">
        <w:rPr>
          <w:color w:val="000000" w:themeColor="text1"/>
        </w:rPr>
        <w:t xml:space="preserve">sector Area Contingency Plans (ACPs). </w:t>
      </w:r>
      <w:r w:rsidRPr="00974048">
        <w:rPr>
          <w:color w:val="000000" w:themeColor="text1"/>
        </w:rPr>
        <w:t xml:space="preserve">Our Washington-based organizations represent residents who depend on a healthy ocean for environmental, </w:t>
      </w:r>
      <w:r w:rsidR="00594C19" w:rsidRPr="00974048">
        <w:rPr>
          <w:color w:val="000000" w:themeColor="text1"/>
        </w:rPr>
        <w:t xml:space="preserve">economic, </w:t>
      </w:r>
      <w:r w:rsidRPr="00974048">
        <w:rPr>
          <w:color w:val="000000" w:themeColor="text1"/>
        </w:rPr>
        <w:t xml:space="preserve">and personal reasons. </w:t>
      </w:r>
      <w:r w:rsidR="00E860BC">
        <w:rPr>
          <w:color w:val="000000" w:themeColor="text1"/>
        </w:rPr>
        <w:t xml:space="preserve">Under federal direction, the ongoing reorganization of ACPs is being treated as </w:t>
      </w:r>
      <w:r w:rsidR="00E860BC">
        <w:t>a simple rearrangement of existing plans into separate plans for each sector</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ll the pieces are in place to update plans to better protect first responder health, public health and welfare, and the environment</w:t>
      </w:r>
      <w:r w:rsidR="00594C19">
        <w:rPr>
          <w:color w:val="000000" w:themeColor="text1"/>
        </w:rPr>
        <w:t xml:space="preserve">. We </w:t>
      </w:r>
      <w:r w:rsidR="002E4FB8">
        <w:rPr>
          <w:color w:val="000000" w:themeColor="text1"/>
        </w:rPr>
        <w:t>are asking you</w:t>
      </w:r>
      <w:r w:rsidR="00594C19">
        <w:rPr>
          <w:color w:val="000000" w:themeColor="text1"/>
        </w:rPr>
        <w:t xml:space="preserve"> to put them together</w:t>
      </w:r>
      <w:r w:rsidR="002E4FB8">
        <w:rPr>
          <w:color w:val="000000" w:themeColor="text1"/>
        </w:rPr>
        <w:t xml:space="preserve"> as part of the ACP reorganization process.</w:t>
      </w:r>
    </w:p>
    <w:p w14:paraId="7D08DAE3" w14:textId="77777777" w:rsidR="00E860BC" w:rsidRDefault="00E860BC" w:rsidP="00E12C3E">
      <w:pPr>
        <w:pStyle w:val="bellezanormal0"/>
        <w:rPr>
          <w:color w:val="000000" w:themeColor="text1"/>
        </w:rPr>
      </w:pPr>
    </w:p>
    <w:p w14:paraId="549CDA5A" w14:textId="5A66AB95" w:rsidR="00E12C3E" w:rsidRPr="00974048" w:rsidRDefault="00E12C3E" w:rsidP="009F03E7">
      <w:pPr>
        <w:pStyle w:val="bellezanormal0"/>
        <w:rPr>
          <w:color w:val="000000" w:themeColor="text1"/>
        </w:rPr>
      </w:pPr>
      <w:r w:rsidRPr="00974048">
        <w:rPr>
          <w:color w:val="000000" w:themeColor="text1"/>
        </w:rPr>
        <w:tab/>
        <w:t>As the lead agency for Washington on oil spill prevention, preparation, and response, you and your team are responsible for develop</w:t>
      </w:r>
      <w:r w:rsidR="0053792F">
        <w:rPr>
          <w:color w:val="000000" w:themeColor="text1"/>
        </w:rPr>
        <w:t>ing</w:t>
      </w:r>
      <w:r w:rsidRPr="00974048">
        <w:rPr>
          <w:color w:val="000000" w:themeColor="text1"/>
        </w:rPr>
        <w:t>, implementi</w:t>
      </w:r>
      <w:r w:rsidR="0053792F">
        <w:rPr>
          <w:color w:val="000000" w:themeColor="text1"/>
        </w:rPr>
        <w:t>ng</w:t>
      </w:r>
      <w:r w:rsidRPr="00974048">
        <w:rPr>
          <w:color w:val="000000" w:themeColor="text1"/>
        </w:rPr>
        <w:t>, and updatin</w:t>
      </w:r>
      <w:r w:rsidR="0053792F">
        <w:rPr>
          <w:color w:val="000000" w:themeColor="text1"/>
        </w:rPr>
        <w:t>g</w:t>
      </w:r>
      <w:r w:rsidRPr="00974048">
        <w:rPr>
          <w:color w:val="000000" w:themeColor="text1"/>
        </w:rPr>
        <w:t xml:space="preserve"> </w:t>
      </w:r>
      <w:r w:rsidR="007F6A59">
        <w:rPr>
          <w:color w:val="000000" w:themeColor="text1"/>
        </w:rPr>
        <w:t>ACPs</w:t>
      </w:r>
      <w:r w:rsidRPr="00974048">
        <w:rPr>
          <w:color w:val="000000" w:themeColor="text1"/>
        </w:rPr>
        <w:t xml:space="preserve"> in collaboration with federal partners. </w:t>
      </w:r>
      <w:r w:rsidR="002E4FB8">
        <w:rPr>
          <w:color w:val="000000" w:themeColor="text1"/>
        </w:rPr>
        <w:t xml:space="preserve">We present each of our three </w:t>
      </w:r>
      <w:r w:rsidR="007F5409">
        <w:rPr>
          <w:color w:val="000000" w:themeColor="text1"/>
        </w:rPr>
        <w:t xml:space="preserve">requests as </w:t>
      </w:r>
      <w:r w:rsidR="002E4FB8">
        <w:rPr>
          <w:color w:val="000000" w:themeColor="text1"/>
        </w:rPr>
        <w:t xml:space="preserve">opportunities </w:t>
      </w:r>
      <w:r w:rsidR="0018237F">
        <w:rPr>
          <w:color w:val="000000" w:themeColor="text1"/>
        </w:rPr>
        <w:t>to update the plans</w:t>
      </w:r>
      <w:r w:rsidRPr="00974048">
        <w:rPr>
          <w:color w:val="000000" w:themeColor="text1"/>
        </w:rPr>
        <w:t xml:space="preserve">. </w:t>
      </w:r>
    </w:p>
    <w:p w14:paraId="20718B4F" w14:textId="77777777" w:rsidR="00E12C3E" w:rsidRPr="00974048" w:rsidRDefault="00E12C3E" w:rsidP="00E12C3E">
      <w:pPr>
        <w:pStyle w:val="bellezanormal0"/>
        <w:rPr>
          <w:color w:val="000000" w:themeColor="text1"/>
        </w:rPr>
      </w:pPr>
    </w:p>
    <w:p w14:paraId="4060764D" w14:textId="64424BF3" w:rsidR="007F5409" w:rsidRDefault="000F28B7" w:rsidP="009F03E7">
      <w:pPr>
        <w:spacing w:line="276" w:lineRule="auto"/>
        <w:ind w:firstLine="720"/>
        <w:contextualSpacing/>
      </w:pPr>
      <w:r>
        <w:t>T</w:t>
      </w:r>
      <w:r w:rsidR="002E4FB8">
        <w:t xml:space="preserve">he </w:t>
      </w:r>
      <w:r w:rsidR="00865BE0">
        <w:t>justification</w:t>
      </w:r>
      <w:r w:rsidR="002E4FB8">
        <w:t xml:space="preserve"> for establishing </w:t>
      </w:r>
      <w:r w:rsidR="0053792F">
        <w:t>a</w:t>
      </w:r>
      <w:r w:rsidR="002E4FB8">
        <w:t xml:space="preserve"> worker health monitoring </w:t>
      </w:r>
      <w:r w:rsidR="00865BE0">
        <w:t xml:space="preserve">unit </w:t>
      </w:r>
      <w:r w:rsidR="002E4FB8">
        <w:t xml:space="preserve">and a </w:t>
      </w:r>
      <w:r w:rsidR="00865BE0">
        <w:t>p</w:t>
      </w:r>
      <w:r w:rsidR="002E4FB8">
        <w:t xml:space="preserve">ublic </w:t>
      </w:r>
      <w:r w:rsidR="00865BE0">
        <w:t>h</w:t>
      </w:r>
      <w:r w:rsidR="002E4FB8">
        <w:t xml:space="preserve">ealth </w:t>
      </w:r>
      <w:r w:rsidR="00865BE0">
        <w:t>a</w:t>
      </w:r>
      <w:r w:rsidR="002E4FB8">
        <w:t>ssessment</w:t>
      </w:r>
      <w:r w:rsidR="00865BE0">
        <w:t xml:space="preserve"> u</w:t>
      </w:r>
      <w:r w:rsidR="002E4FB8">
        <w:t>nit</w:t>
      </w:r>
      <w:r>
        <w:t xml:space="preserve"> is found in the final report of the </w:t>
      </w:r>
      <w:r w:rsidR="00C80208">
        <w:t xml:space="preserve">2023 </w:t>
      </w:r>
      <w:r>
        <w:t>Health and Safety Task Force, chartered by Regional Response Team (RRT) 10 and the Northwest Area Committee</w:t>
      </w:r>
      <w:r w:rsidR="0018237F">
        <w:t>.</w:t>
      </w:r>
      <w:r w:rsidR="0018237F" w:rsidRPr="0018237F">
        <w:rPr>
          <w:rStyle w:val="FootnoteReference"/>
          <w:sz w:val="24"/>
        </w:rPr>
        <w:footnoteReference w:id="1"/>
      </w:r>
      <w:r>
        <w:t xml:space="preserve"> </w:t>
      </w:r>
      <w:r w:rsidR="0053792F">
        <w:t>The report found</w:t>
      </w:r>
      <w:r w:rsidR="00A73A87">
        <w:t xml:space="preserve"> </w:t>
      </w:r>
      <w:r w:rsidR="00A73A87">
        <w:lastRenderedPageBreak/>
        <w:t xml:space="preserve">that health monitoring protocols do not adequately protect professional or citizen responders, as evidenced from the post-Deepwater Horizon disaster </w:t>
      </w:r>
      <w:r w:rsidR="00CA31D4">
        <w:t xml:space="preserve">lab, clinical, and </w:t>
      </w:r>
      <w:r w:rsidR="00A73A87">
        <w:t>epidemiology studies</w:t>
      </w:r>
      <w:r w:rsidR="00935A9A">
        <w:t>,</w:t>
      </w:r>
      <w:r w:rsidR="00A73A87">
        <w:t xml:space="preserve"> </w:t>
      </w:r>
      <w:r w:rsidR="00CA31D4">
        <w:t xml:space="preserve">the latter </w:t>
      </w:r>
      <w:r w:rsidR="00A73A87">
        <w:t>involving USCG and citizen responder study population</w:t>
      </w:r>
      <w:r w:rsidR="00935A9A">
        <w:t>s</w:t>
      </w:r>
      <w:r w:rsidR="00A73A87">
        <w:t xml:space="preserve">, respectively. </w:t>
      </w:r>
      <w:r w:rsidR="0053792F">
        <w:t>It also described actions by federal and state agencies to act on this new information to minimize harm to human health during oil spills and all-hazard disasters.</w:t>
      </w:r>
    </w:p>
    <w:p w14:paraId="67DC870A" w14:textId="77777777" w:rsidR="00935A9A" w:rsidRDefault="00935A9A" w:rsidP="009F03E7">
      <w:pPr>
        <w:spacing w:line="276" w:lineRule="auto"/>
        <w:ind w:firstLine="720"/>
        <w:contextualSpacing/>
      </w:pPr>
    </w:p>
    <w:p w14:paraId="39C69948" w14:textId="40278E5D" w:rsidR="00715A88" w:rsidRDefault="00B91C25" w:rsidP="009F03E7">
      <w:pPr>
        <w:spacing w:line="276" w:lineRule="auto"/>
        <w:ind w:firstLine="720"/>
        <w:contextualSpacing/>
      </w:pPr>
      <w:r>
        <w:t>These units would buil</w:t>
      </w:r>
      <w:r w:rsidR="0053792F">
        <w:t>d</w:t>
      </w:r>
      <w:r>
        <w:t xml:space="preserve"> on the work of others as t</w:t>
      </w:r>
      <w:r w:rsidR="00C80208">
        <w:t xml:space="preserve">he </w:t>
      </w:r>
      <w:r>
        <w:t>foundation</w:t>
      </w:r>
      <w:r w:rsidR="00C80208">
        <w:t xml:space="preserve"> for establishing these health protection units already exist</w:t>
      </w:r>
      <w:r>
        <w:t>s</w:t>
      </w:r>
      <w:r w:rsidR="00C80208">
        <w:t xml:space="preserve">. </w:t>
      </w:r>
      <w:r w:rsidR="00CA31D4">
        <w:t xml:space="preserve">The </w:t>
      </w:r>
      <w:r w:rsidR="00C80208">
        <w:t>Health and Safety Task Force</w:t>
      </w:r>
      <w:r w:rsidR="00C80208">
        <w:t xml:space="preserve"> 2024</w:t>
      </w:r>
      <w:r w:rsidR="00CA31D4">
        <w:t xml:space="preserve"> </w:t>
      </w:r>
      <w:r w:rsidR="0018237F">
        <w:t xml:space="preserve">report </w:t>
      </w:r>
      <w:r w:rsidR="00CA31D4">
        <w:t>provides the following examples.</w:t>
      </w:r>
    </w:p>
    <w:p w14:paraId="65813FCD" w14:textId="16BCF9A0"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Pr>
          <w:u w:val="single"/>
        </w:rPr>
        <w:t xml:space="preserve">health </w:t>
      </w:r>
      <w:r w:rsidR="004E4EF4" w:rsidRPr="004E4EF4">
        <w:rPr>
          <w:u w:val="single"/>
        </w:rPr>
        <w:t>monitoring</w:t>
      </w:r>
      <w:r>
        <w:rPr>
          <w:u w:val="single"/>
        </w:rPr>
        <w:t xml:space="preserve"> (using Permissible Exposure Limits) is unreliable</w:t>
      </w:r>
      <w:r w:rsidR="001D2A5E">
        <w:t>:</w:t>
      </w:r>
      <w:r w:rsidR="004E4EF4">
        <w:t xml:space="preserve"> </w:t>
      </w:r>
      <w:r w:rsidR="00CC3705">
        <w:t xml:space="preserve">The Occupational Health and Safety Administration (OSHA) revised its Hazard Communication standard (§ 1910.1200) in 2012 to recognize certain categories of health hazards as chemicals (or mixtures that include these chemicals) as exceptions to the rule of concentration-based health monitoring and to require the more reliable and critical symptom-based health monitoring in the presence of such chemicals or mixtures. </w:t>
      </w:r>
    </w:p>
    <w:p w14:paraId="58CA510A" w14:textId="414168A6" w:rsidR="00715A88" w:rsidRDefault="004E4EF4" w:rsidP="00715A88">
      <w:pPr>
        <w:pStyle w:val="ListParagraph"/>
        <w:numPr>
          <w:ilvl w:val="0"/>
          <w:numId w:val="18"/>
        </w:numPr>
        <w:spacing w:line="276" w:lineRule="auto"/>
        <w:ind w:left="720"/>
      </w:pPr>
      <w:r>
        <w:rPr>
          <w:u w:val="single"/>
        </w:rPr>
        <w:t xml:space="preserve">Symptom-based </w:t>
      </w:r>
      <w:r w:rsidR="006C5A3B">
        <w:rPr>
          <w:u w:val="single"/>
        </w:rPr>
        <w:t xml:space="preserve">health </w:t>
      </w:r>
      <w:r>
        <w:rPr>
          <w:u w:val="single"/>
        </w:rPr>
        <w:t>monitoring is reliable</w:t>
      </w:r>
      <w:r>
        <w:t xml:space="preserve">: </w:t>
      </w:r>
      <w:r w:rsidR="007F6A59">
        <w:t>In 2012, t</w:t>
      </w:r>
      <w:r w:rsidR="006C5A3B">
        <w:t>he</w:t>
      </w:r>
      <w:r w:rsidR="00B91C25">
        <w:t xml:space="preserve"> National Institute of Occupational Health and Safety </w:t>
      </w:r>
      <w:r w:rsidR="007F6A59">
        <w:t xml:space="preserve">(NIOSH) </w:t>
      </w:r>
      <w:r w:rsidR="006C5A3B">
        <w:t xml:space="preserve">developed, and described how to </w:t>
      </w:r>
      <w:r w:rsidR="00B91C25">
        <w:t>implement</w:t>
      </w:r>
      <w:r w:rsidR="006C5A3B">
        <w:t>,</w:t>
      </w:r>
      <w:r w:rsidR="00B91C25">
        <w:t xml:space="preserve"> a</w:t>
      </w:r>
      <w:r w:rsidR="006C5A3B">
        <w:t xml:space="preserve"> protocol</w:t>
      </w:r>
      <w:r w:rsidR="00B91C25">
        <w:t xml:space="preserve"> for emergency responders</w:t>
      </w:r>
      <w:r w:rsidR="007F6A59">
        <w:t>, using</w:t>
      </w:r>
      <w:r w:rsidR="00B91C25">
        <w:t xml:space="preserve"> </w:t>
      </w:r>
      <w:r w:rsidR="00CC3705">
        <w:t>symptom-based health monitoring</w:t>
      </w:r>
      <w:r w:rsidR="006C5A3B">
        <w:t xml:space="preserve"> in real-time and surveillance for long-term health monitoring</w:t>
      </w:r>
      <w:r w:rsidR="007F6A59">
        <w:t>. T</w:t>
      </w:r>
      <w:r w:rsidR="006C5A3B">
        <w:t>he</w:t>
      </w:r>
      <w:r w:rsidR="00CC3705">
        <w:t xml:space="preserve"> </w:t>
      </w:r>
      <w:r w:rsidR="00B91C25">
        <w:t xml:space="preserve">National Response Team, comprised of 15 federal agencies, including the USCG </w:t>
      </w:r>
      <w:r w:rsidR="00CC3705">
        <w:t>and OSHA</w:t>
      </w:r>
      <w:r w:rsidR="006A04F8">
        <w:t xml:space="preserve">, </w:t>
      </w:r>
      <w:r w:rsidR="006C5A3B">
        <w:t xml:space="preserve">recommended </w:t>
      </w:r>
      <w:r w:rsidR="007F6A59">
        <w:t xml:space="preserve">its </w:t>
      </w:r>
      <w:r w:rsidR="006C5A3B">
        <w:t>use</w:t>
      </w:r>
      <w:r w:rsidR="00B91C25">
        <w:t>.</w:t>
      </w:r>
      <w:r w:rsidR="009F03E7">
        <w:t xml:space="preserve"> </w:t>
      </w:r>
      <w:r w:rsidR="007F6A59">
        <w:t>There is even a NIOSH-sponsored training program to support use.</w:t>
      </w:r>
    </w:p>
    <w:p w14:paraId="6A216C2C" w14:textId="5FEE2574" w:rsidR="00CC3705" w:rsidRDefault="001D2A5E" w:rsidP="00715A88">
      <w:pPr>
        <w:pStyle w:val="ListParagraph"/>
        <w:numPr>
          <w:ilvl w:val="0"/>
          <w:numId w:val="18"/>
        </w:numPr>
        <w:spacing w:line="276" w:lineRule="auto"/>
        <w:ind w:left="720"/>
      </w:pPr>
      <w:r>
        <w:rPr>
          <w:u w:val="single"/>
        </w:rPr>
        <w:t xml:space="preserve">There </w:t>
      </w:r>
      <w:r w:rsidR="007F6A59">
        <w:rPr>
          <w:u w:val="single"/>
        </w:rPr>
        <w:t>are</w:t>
      </w:r>
      <w:r w:rsidRPr="001D2A5E">
        <w:rPr>
          <w:u w:val="single"/>
        </w:rPr>
        <w:t xml:space="preserve"> validated surveys to support symptom-based monitoring</w:t>
      </w:r>
      <w:r>
        <w:t xml:space="preserve">: </w:t>
      </w:r>
      <w:r w:rsidR="00CC3705">
        <w:t xml:space="preserve">In 2021, teams of scientists </w:t>
      </w:r>
      <w:r w:rsidR="007F6A59">
        <w:t>found</w:t>
      </w:r>
      <w:r w:rsidR="00CC3705">
        <w:t xml:space="preserve"> the </w:t>
      </w:r>
      <w:r w:rsidR="00CC3705">
        <w:t xml:space="preserve">immunology-based </w:t>
      </w:r>
      <w:r w:rsidR="00CC3705">
        <w:t>biomechanism that triggers symptoms at very low levels of exposure to health hazards</w:t>
      </w:r>
      <w:r w:rsidR="007F6A59">
        <w:t>, and they</w:t>
      </w:r>
      <w:r w:rsidR="00CC3705">
        <w:t xml:space="preserve"> </w:t>
      </w:r>
      <w:r w:rsidR="007F6A59">
        <w:t>developed</w:t>
      </w:r>
      <w:r w:rsidR="00CC3705">
        <w:t xml:space="preserve"> validated and nonintrusive </w:t>
      </w:r>
      <w:r w:rsidR="00CA31D4">
        <w:t xml:space="preserve">symptom-based </w:t>
      </w:r>
      <w:r w:rsidR="00CC3705">
        <w:t xml:space="preserve">survey tools </w:t>
      </w:r>
      <w:r w:rsidR="007F6A59">
        <w:t>that</w:t>
      </w:r>
      <w:r w:rsidR="00CC3705">
        <w:t xml:space="preserve"> </w:t>
      </w:r>
      <w:r w:rsidR="00CA31D4">
        <w:t xml:space="preserve">provide rapid results critical for real-time </w:t>
      </w:r>
      <w:r w:rsidR="007F6A59">
        <w:t xml:space="preserve">health </w:t>
      </w:r>
      <w:r w:rsidR="00CA31D4">
        <w:t xml:space="preserve">monitoring and long-term tracking. </w:t>
      </w:r>
    </w:p>
    <w:p w14:paraId="6250FC90" w14:textId="77777777" w:rsidR="001D2A5E" w:rsidRDefault="001D2A5E" w:rsidP="00715A88">
      <w:pPr>
        <w:pStyle w:val="ListParagraph"/>
        <w:numPr>
          <w:ilvl w:val="0"/>
          <w:numId w:val="18"/>
        </w:numPr>
        <w:spacing w:line="276" w:lineRule="auto"/>
        <w:ind w:left="720"/>
      </w:pPr>
      <w:r w:rsidRPr="001D2A5E">
        <w:rPr>
          <w:u w:val="single"/>
        </w:rPr>
        <w:t>A Public Health Assessment Unit is already in place for oil spill response in California</w:t>
      </w:r>
      <w:r>
        <w:t xml:space="preserve">: </w:t>
      </w:r>
    </w:p>
    <w:p w14:paraId="79B6777D" w14:textId="74F8D382" w:rsidR="00CA31D4" w:rsidRDefault="00CA31D4" w:rsidP="001D2A5E">
      <w:pPr>
        <w:pStyle w:val="ListParagraph"/>
        <w:spacing w:line="276" w:lineRule="auto"/>
      </w:pPr>
      <w:r>
        <w:t xml:space="preserve">RRT 9 and California state and local officials developed and implemented </w:t>
      </w:r>
      <w:r w:rsidR="001179AE">
        <w:t xml:space="preserve">a </w:t>
      </w:r>
      <w:r w:rsidR="00F85C14">
        <w:t xml:space="preserve">Public Health Assessment </w:t>
      </w:r>
      <w:r w:rsidR="001179AE">
        <w:t>Unit in 2021 that retains state control of public health but integrates the unit into the disaster response framework to allow expenses to be reimbursed</w:t>
      </w:r>
      <w:r w:rsidR="00F85C14">
        <w:t>. T</w:t>
      </w:r>
      <w:r w:rsidR="001179AE">
        <w:t xml:space="preserve">he </w:t>
      </w:r>
      <w:r w:rsidR="00F85C14">
        <w:t>u</w:t>
      </w:r>
      <w:r w:rsidR="001179AE">
        <w:t>nit does not yet include symptom-based human health monitoring.</w:t>
      </w:r>
    </w:p>
    <w:p w14:paraId="5EB718AE" w14:textId="7FB9CE80" w:rsidR="007F5409" w:rsidRDefault="007F5409" w:rsidP="001179AE">
      <w:pPr>
        <w:spacing w:line="276" w:lineRule="auto"/>
        <w:contextualSpacing/>
      </w:pPr>
    </w:p>
    <w:p w14:paraId="5E41C6F8" w14:textId="08D7086F" w:rsidR="002E4FB8" w:rsidRDefault="007F5409" w:rsidP="009F03E7">
      <w:pPr>
        <w:spacing w:line="276" w:lineRule="auto"/>
        <w:ind w:firstLine="720"/>
        <w:contextualSpacing/>
      </w:pPr>
      <w:r>
        <w:t xml:space="preserve">The </w:t>
      </w:r>
      <w:r w:rsidR="001179AE">
        <w:t xml:space="preserve">Health and Safety </w:t>
      </w:r>
      <w:r>
        <w:t xml:space="preserve">Task Force </w:t>
      </w:r>
      <w:r w:rsidR="001179AE">
        <w:t xml:space="preserve">also </w:t>
      </w:r>
      <w:r>
        <w:t xml:space="preserve">did the heavy lift of analyzing where and how to fit </w:t>
      </w:r>
      <w:r w:rsidR="00F85C14">
        <w:t>t</w:t>
      </w:r>
      <w:r>
        <w:t>he</w:t>
      </w:r>
      <w:r w:rsidR="001179AE">
        <w:t xml:space="preserve"> health units and the symptom-based surveys into various sections of the Northwest Area Plan (see Appendix D, pp. 103–108). The recommendations are a direct fit into the USCG template for content of the revised plans. In short, </w:t>
      </w:r>
      <w:r w:rsidR="0099441A" w:rsidRPr="002E5D46">
        <w:rPr>
          <w:i/>
          <w:iCs/>
        </w:rPr>
        <w:t>this is the perfect opportunity</w:t>
      </w:r>
      <w:r w:rsidR="0099441A">
        <w:t xml:space="preserve"> to develop and implement worker and public health units now, as part of </w:t>
      </w:r>
      <w:r w:rsidR="00F85C14">
        <w:t xml:space="preserve">ACPs, during </w:t>
      </w:r>
      <w:r w:rsidR="0099441A">
        <w:t>the reorganization process.</w:t>
      </w:r>
    </w:p>
    <w:p w14:paraId="433F9C25" w14:textId="1C7B0484" w:rsidR="00E458CD" w:rsidRDefault="00E458CD" w:rsidP="009F03E7">
      <w:pPr>
        <w:spacing w:line="276" w:lineRule="auto"/>
        <w:contextualSpacing/>
      </w:pPr>
    </w:p>
    <w:p w14:paraId="1A960311" w14:textId="1089EBA2" w:rsidR="00C557BB" w:rsidRDefault="001733C0" w:rsidP="00C557BB">
      <w:pPr>
        <w:spacing w:line="276" w:lineRule="auto"/>
        <w:ind w:firstLine="720"/>
        <w:contextualSpacing/>
      </w:pPr>
      <w:r>
        <w:t>The justification for establishing a</w:t>
      </w:r>
      <w:r>
        <w:t xml:space="preserve"> Regional Citizens’ Advisory Council is found in the </w:t>
      </w:r>
      <w:r w:rsidR="00C557BB">
        <w:t>Oil Pollution Act of 1990 (</w:t>
      </w:r>
      <w:r w:rsidR="00C557BB" w:rsidRPr="00A61EDF">
        <w:t>USC § 2732</w:t>
      </w:r>
      <w:r w:rsidR="00C557BB">
        <w:t xml:space="preserve">) and the </w:t>
      </w:r>
      <w:r>
        <w:t xml:space="preserve">2011 report by the President’s Commission on the </w:t>
      </w:r>
      <w:r>
        <w:lastRenderedPageBreak/>
        <w:t>Deepwater Horizon</w:t>
      </w:r>
      <w:r w:rsidR="008C26BD">
        <w:t xml:space="preserve">. The </w:t>
      </w:r>
      <w:r w:rsidR="008C26BD">
        <w:t xml:space="preserve">Commission found </w:t>
      </w:r>
      <w:r w:rsidR="008C26BD">
        <w:t xml:space="preserve">that </w:t>
      </w:r>
      <w:r w:rsidR="008C26BD">
        <w:t>“</w:t>
      </w:r>
      <w:r w:rsidR="008C26BD" w:rsidRPr="00FE15ED">
        <w:t>each Coast Guard sector is an “Area” with an Area Contingency Plan created by relevant state and federal agencies</w:t>
      </w:r>
      <w:r w:rsidR="008C26BD">
        <w:t>,</w:t>
      </w:r>
      <w:r w:rsidR="008C26BD">
        <w:t>” and that the Coast Guard’s failure to actively engage state and local officials in the development of ACPs undercut the efficacy of the overall response during the BP disaster.</w:t>
      </w:r>
      <w:r w:rsidR="008C26BD" w:rsidRPr="00A9165F">
        <w:rPr>
          <w:rStyle w:val="FootnoteReference"/>
          <w:sz w:val="24"/>
        </w:rPr>
        <w:footnoteReference w:id="2"/>
      </w:r>
      <w:r w:rsidR="008C26BD">
        <w:t xml:space="preserve"> </w:t>
      </w:r>
      <w:r w:rsidR="008C26BD">
        <w:t xml:space="preserve">The Commission </w:t>
      </w:r>
      <w:r w:rsidR="00C557BB">
        <w:t>recommended</w:t>
      </w:r>
      <w:r>
        <w:t xml:space="preserve">: </w:t>
      </w:r>
    </w:p>
    <w:p w14:paraId="59B2AD86" w14:textId="45480AA0" w:rsidR="00C557BB" w:rsidRPr="00C557BB" w:rsidRDefault="001733C0" w:rsidP="00F85C14">
      <w:pPr>
        <w:spacing w:line="276" w:lineRule="auto"/>
        <w:ind w:left="720" w:right="720"/>
        <w:contextualSpacing/>
        <w:jc w:val="both"/>
      </w:pPr>
      <w:r>
        <w:t>“</w:t>
      </w:r>
      <w:r w:rsidR="00C557BB" w:rsidRPr="00C557BB">
        <w:t xml:space="preserve">[To close a] critical… gap in the government’s existing response capacity… EPA and the Coast Guard should bolster state and local involvement in spill planning and response similar to the </w:t>
      </w:r>
      <w:r w:rsidR="00C557BB">
        <w:t>Regional Citizens’ Advisory Council</w:t>
      </w:r>
      <w:r w:rsidR="00C557BB">
        <w:t>s</w:t>
      </w:r>
      <w:r w:rsidR="00C557BB">
        <w:t xml:space="preserve"> </w:t>
      </w:r>
      <w:r w:rsidR="00B82479">
        <w:t>mandated by the Oil Pollution Act of 1990.</w:t>
      </w:r>
      <w:r w:rsidR="00C557BB" w:rsidRPr="00C557BB">
        <w:t>”</w:t>
      </w:r>
      <w:r w:rsidR="00B82479" w:rsidRPr="00A9165F">
        <w:rPr>
          <w:rStyle w:val="FootnoteReference"/>
          <w:sz w:val="24"/>
        </w:rPr>
        <w:footnoteReference w:id="3"/>
      </w:r>
    </w:p>
    <w:p w14:paraId="011B9EA0" w14:textId="36B7E02C" w:rsidR="002E4FB8" w:rsidRDefault="002E4FB8" w:rsidP="00C557BB">
      <w:pPr>
        <w:spacing w:line="276" w:lineRule="auto"/>
        <w:ind w:firstLine="720"/>
        <w:contextualSpacing/>
      </w:pPr>
    </w:p>
    <w:p w14:paraId="1E761246" w14:textId="0CB06BF8" w:rsidR="00162E1A" w:rsidRDefault="008C26BD" w:rsidP="00C557BB">
      <w:pPr>
        <w:spacing w:line="276" w:lineRule="auto"/>
        <w:ind w:firstLine="720"/>
        <w:contextualSpacing/>
      </w:pPr>
      <w:r>
        <w:t xml:space="preserve">This recommendation is driving the USCG reorganization of ACPs into sectors. </w:t>
      </w:r>
      <w:r w:rsidR="00162E1A">
        <w:t>Why not also the formation of Regional Citizens’ Advisory Councils to serve the Area Committees that are tasked under law to develop ACPs?</w:t>
      </w:r>
      <w:r w:rsidR="00A9165F" w:rsidRPr="00A9165F">
        <w:rPr>
          <w:rStyle w:val="FootnoteReference"/>
          <w:sz w:val="24"/>
        </w:rPr>
        <w:footnoteReference w:id="4"/>
      </w:r>
      <w:r w:rsidR="00162E1A">
        <w:t xml:space="preserve"> T</w:t>
      </w:r>
      <w:r>
        <w:t xml:space="preserve">he Commission specifically </w:t>
      </w:r>
      <w:r w:rsidR="00A77214">
        <w:t xml:space="preserve">discussed ACPs </w:t>
      </w:r>
      <w:r w:rsidR="00A77214">
        <w:rPr>
          <w:u w:val="single"/>
        </w:rPr>
        <w:t>and</w:t>
      </w:r>
      <w:r>
        <w:t xml:space="preserve"> </w:t>
      </w:r>
      <w:r>
        <w:t>Regional Citizens’ Advisory Council</w:t>
      </w:r>
      <w:r>
        <w:t xml:space="preserve">s, </w:t>
      </w:r>
      <w:r w:rsidR="00162E1A" w:rsidRPr="00162E1A">
        <w:rPr>
          <w:u w:val="single"/>
        </w:rPr>
        <w:t>because b</w:t>
      </w:r>
      <w:r w:rsidR="00162E1A" w:rsidRPr="00162E1A">
        <w:rPr>
          <w:u w:val="single"/>
        </w:rPr>
        <w:t>oth are needed</w:t>
      </w:r>
      <w:r w:rsidR="00162E1A">
        <w:t xml:space="preserve">. </w:t>
      </w:r>
    </w:p>
    <w:p w14:paraId="6ACDC484" w14:textId="77777777" w:rsidR="00162E1A" w:rsidRDefault="00162E1A" w:rsidP="00C557BB">
      <w:pPr>
        <w:spacing w:line="276" w:lineRule="auto"/>
        <w:ind w:firstLine="720"/>
        <w:contextualSpacing/>
      </w:pPr>
    </w:p>
    <w:p w14:paraId="0D49747B" w14:textId="069394C9" w:rsidR="004B139B" w:rsidRDefault="00162E1A" w:rsidP="00C557BB">
      <w:pPr>
        <w:spacing w:line="276" w:lineRule="auto"/>
        <w:ind w:firstLine="720"/>
        <w:contextualSpacing/>
      </w:pPr>
      <w:r>
        <w:t>Citizens’ councils</w:t>
      </w:r>
      <w:r w:rsidR="008C26BD">
        <w:t xml:space="preserve"> serve a different function than ACPs</w:t>
      </w:r>
      <w:r w:rsidR="002A529A">
        <w:t>.</w:t>
      </w:r>
      <w:r w:rsidR="002E71CD" w:rsidRPr="00A9165F">
        <w:rPr>
          <w:rStyle w:val="FootnoteReference"/>
          <w:sz w:val="24"/>
        </w:rPr>
        <w:footnoteReference w:id="5"/>
      </w:r>
      <w:r w:rsidR="002A529A">
        <w:t xml:space="preserve"> </w:t>
      </w:r>
      <w:r w:rsidR="00BF0894">
        <w:t>The</w:t>
      </w:r>
      <w:r w:rsidR="00A42495">
        <w:t xml:space="preserve">y </w:t>
      </w:r>
      <w:r w:rsidR="00BF0894">
        <w:t xml:space="preserve">provide </w:t>
      </w:r>
      <w:r w:rsidR="00BF0894" w:rsidRPr="00F56DC8">
        <w:t xml:space="preserve">science and technical </w:t>
      </w:r>
      <w:r w:rsidR="00BF0894">
        <w:t>support for the Area Committees</w:t>
      </w:r>
      <w:r w:rsidR="00BF0894">
        <w:t>.</w:t>
      </w:r>
      <w:r w:rsidR="00BF0894" w:rsidRPr="00F56DC8">
        <w:t xml:space="preserve"> </w:t>
      </w:r>
      <w:r w:rsidR="00BF0894">
        <w:t>They conduct</w:t>
      </w:r>
      <w:r w:rsidR="00BF0894" w:rsidRPr="00F56DC8">
        <w:rPr>
          <w:color w:val="000000"/>
        </w:rPr>
        <w:t xml:space="preserve"> the research, </w:t>
      </w:r>
      <w:r w:rsidR="00BF0894" w:rsidRPr="00F56DC8">
        <w:t xml:space="preserve">environmental monitoring, and </w:t>
      </w:r>
      <w:r w:rsidR="00474E75">
        <w:t xml:space="preserve">thorough </w:t>
      </w:r>
      <w:r w:rsidR="00BF0894" w:rsidRPr="00F56DC8">
        <w:t>contingency plan reviews needed to demonstrate safe environmental practices.</w:t>
      </w:r>
      <w:r w:rsidR="00BF0894" w:rsidRPr="00A9165F">
        <w:rPr>
          <w:rStyle w:val="FootnoteReference"/>
          <w:sz w:val="24"/>
        </w:rPr>
        <w:footnoteReference w:id="6"/>
      </w:r>
      <w:r w:rsidR="00BF0894" w:rsidRPr="00F56DC8">
        <w:t xml:space="preserve"> </w:t>
      </w:r>
      <w:r w:rsidR="00A42495">
        <w:t xml:space="preserve">They </w:t>
      </w:r>
      <w:r w:rsidR="00A77214">
        <w:t>generate</w:t>
      </w:r>
      <w:r w:rsidR="004B139B">
        <w:t xml:space="preserve"> quality</w:t>
      </w:r>
      <w:r>
        <w:t>,</w:t>
      </w:r>
      <w:r w:rsidR="00A77214">
        <w:t xml:space="preserve"> area-specific </w:t>
      </w:r>
      <w:r w:rsidR="004B139B">
        <w:t xml:space="preserve">information to make informed </w:t>
      </w:r>
      <w:r w:rsidR="00A77214">
        <w:t xml:space="preserve">decisions </w:t>
      </w:r>
      <w:r w:rsidR="00A77214" w:rsidRPr="00F56DC8">
        <w:t xml:space="preserve">in developing and updating </w:t>
      </w:r>
      <w:r w:rsidR="00A77214">
        <w:t>ACPs,</w:t>
      </w:r>
      <w:r w:rsidR="00474E75">
        <w:t xml:space="preserve"> </w:t>
      </w:r>
      <w:r w:rsidR="004B139B">
        <w:rPr>
          <w:u w:val="single"/>
        </w:rPr>
        <w:t>and</w:t>
      </w:r>
      <w:r w:rsidR="004B139B">
        <w:t xml:space="preserve"> </w:t>
      </w:r>
      <w:r w:rsidR="00A77214">
        <w:t xml:space="preserve">they provide </w:t>
      </w:r>
      <w:r w:rsidR="004B139B">
        <w:t>a critical feedback loop to determine if ACPs work as intended.</w:t>
      </w:r>
    </w:p>
    <w:p w14:paraId="4C480757" w14:textId="77777777" w:rsidR="004B139B" w:rsidRDefault="004B139B" w:rsidP="00C557BB">
      <w:pPr>
        <w:spacing w:line="276" w:lineRule="auto"/>
        <w:ind w:firstLine="720"/>
        <w:contextualSpacing/>
      </w:pPr>
    </w:p>
    <w:p w14:paraId="38091AFF" w14:textId="46B2BCE2" w:rsidR="00FE15ED" w:rsidRDefault="00A42495" w:rsidP="00C557BB">
      <w:pPr>
        <w:spacing w:line="276" w:lineRule="auto"/>
        <w:ind w:firstLine="720"/>
        <w:contextualSpacing/>
      </w:pPr>
      <w:r>
        <w:t xml:space="preserve">Congress </w:t>
      </w:r>
      <w:r w:rsidR="00A9165F">
        <w:t>established</w:t>
      </w:r>
      <w:r>
        <w:t xml:space="preserve"> these citizens’ councils</w:t>
      </w:r>
      <w:r w:rsidR="00BF0894">
        <w:t xml:space="preserve"> </w:t>
      </w:r>
      <w:r>
        <w:t>to</w:t>
      </w:r>
      <w:r w:rsidR="00BF0894">
        <w:t xml:space="preserve"> counter government-industry complacency and </w:t>
      </w:r>
      <w:r w:rsidR="00A9165F">
        <w:t xml:space="preserve">to </w:t>
      </w:r>
      <w:r w:rsidR="00BF0894">
        <w:t>reduce controversy by</w:t>
      </w:r>
      <w:r w:rsidR="00BF0894">
        <w:rPr>
          <w:bCs/>
        </w:rPr>
        <w:t xml:space="preserve"> </w:t>
      </w:r>
      <w:r w:rsidR="00BF0894" w:rsidRPr="00F56DC8">
        <w:t>involv</w:t>
      </w:r>
      <w:r w:rsidR="00BF0894">
        <w:t>ing</w:t>
      </w:r>
      <w:r w:rsidR="00BF0894" w:rsidRPr="00F56DC8">
        <w:t xml:space="preserve"> local citizens in the process of preparing, adopting, and </w:t>
      </w:r>
      <w:r w:rsidR="00BF0894">
        <w:t>reviewing</w:t>
      </w:r>
      <w:r w:rsidR="00BF0894" w:rsidRPr="00F56DC8">
        <w:t xml:space="preserve"> oil spill contingency plans. </w:t>
      </w:r>
      <w:r>
        <w:t xml:space="preserve">Congress was serious: </w:t>
      </w:r>
      <w:r>
        <w:t>I</w:t>
      </w:r>
      <w:r w:rsidRPr="00F56DC8">
        <w:t xml:space="preserve">t tied the annual funding for </w:t>
      </w:r>
      <w:r>
        <w:t xml:space="preserve">the </w:t>
      </w:r>
      <w:r w:rsidRPr="00F56DC8">
        <w:t xml:space="preserve">Alaska programs to approval of contingency plans required of </w:t>
      </w:r>
      <w:r>
        <w:t xml:space="preserve">plan holders in </w:t>
      </w:r>
      <w:r>
        <w:t>the regions where the RCACs were established</w:t>
      </w:r>
      <w:r w:rsidRPr="00F56DC8">
        <w:t>.</w:t>
      </w:r>
      <w:r w:rsidRPr="00A9165F">
        <w:rPr>
          <w:rStyle w:val="FootnoteReference"/>
          <w:sz w:val="24"/>
        </w:rPr>
        <w:footnoteReference w:id="7"/>
      </w:r>
      <w:r w:rsidR="008C2BC7">
        <w:t xml:space="preserve"> </w:t>
      </w:r>
    </w:p>
    <w:p w14:paraId="4A5ECE5D" w14:textId="77777777" w:rsidR="008C2BC7" w:rsidRDefault="008C2BC7" w:rsidP="00C557BB">
      <w:pPr>
        <w:spacing w:line="276" w:lineRule="auto"/>
        <w:ind w:firstLine="720"/>
        <w:contextualSpacing/>
      </w:pPr>
    </w:p>
    <w:p w14:paraId="19F364EB" w14:textId="118E27A5" w:rsidR="00111C32" w:rsidRDefault="008C2BC7" w:rsidP="00111C32">
      <w:pPr>
        <w:spacing w:line="276" w:lineRule="auto"/>
        <w:ind w:firstLine="720"/>
        <w:contextualSpacing/>
      </w:pPr>
      <w:r>
        <w:lastRenderedPageBreak/>
        <w:t xml:space="preserve">We are asking you to adapt </w:t>
      </w:r>
      <w:r w:rsidR="004C4F48">
        <w:t xml:space="preserve">and </w:t>
      </w:r>
      <w:r w:rsidR="004C4F48">
        <w:t xml:space="preserve">apply </w:t>
      </w:r>
      <w:r>
        <w:t xml:space="preserve">this model citizens’ council here in Washington. The next generation </w:t>
      </w:r>
      <w:r w:rsidR="00111C32">
        <w:t xml:space="preserve">citizens’ </w:t>
      </w:r>
      <w:r>
        <w:t xml:space="preserve">council could conduct the supplemental testing for use of dispersants and other products to determine what products can be used safely in state and adjacent federal waters with species of concern. The council could also be tasked with conducting </w:t>
      </w:r>
      <w:r w:rsidR="00111C32">
        <w:t xml:space="preserve">baseline and post-event surveys for </w:t>
      </w:r>
      <w:r>
        <w:t>public health monitoring</w:t>
      </w:r>
      <w:r w:rsidR="00111C32">
        <w:t xml:space="preserve"> to determine location and needs of vulnerable populations during and after an oil spill to support the Public Health Assessment Units, as recommended by the 2023 Health and Safety Task Force.</w:t>
      </w:r>
      <w:r w:rsidR="00A42495" w:rsidRPr="00A9165F">
        <w:rPr>
          <w:rStyle w:val="FootnoteReference"/>
          <w:sz w:val="24"/>
        </w:rPr>
        <w:footnoteReference w:id="8"/>
      </w:r>
      <w:r w:rsidR="00111C32">
        <w:t xml:space="preserve"> </w:t>
      </w:r>
    </w:p>
    <w:p w14:paraId="5B42476B" w14:textId="77777777" w:rsidR="004C4F48" w:rsidRDefault="004C4F48" w:rsidP="00111C32">
      <w:pPr>
        <w:spacing w:line="276" w:lineRule="auto"/>
        <w:ind w:firstLine="720"/>
        <w:contextualSpacing/>
      </w:pPr>
    </w:p>
    <w:p w14:paraId="4A285D80" w14:textId="675371C7" w:rsidR="004C4F48" w:rsidRPr="00974048" w:rsidRDefault="004C4F48" w:rsidP="004C4F48">
      <w:pPr>
        <w:pStyle w:val="bellezanormal0"/>
        <w:rPr>
          <w:color w:val="000000" w:themeColor="text1"/>
        </w:rPr>
      </w:pPr>
      <w:hyperlink r:id="rId10" w:history="1">
        <w:r w:rsidR="00A9165F">
          <w:rPr>
            <w:rStyle w:val="Hyperlink"/>
            <w:rFonts w:eastAsia="Cambria"/>
            <w:color w:val="000000" w:themeColor="text1"/>
          </w:rPr>
          <w:t>ALERT’s r</w:t>
        </w:r>
        <w:r w:rsidRPr="00974048">
          <w:rPr>
            <w:rStyle w:val="Hyperlink"/>
            <w:rFonts w:eastAsia="Cambria"/>
            <w:color w:val="000000" w:themeColor="text1"/>
          </w:rPr>
          <w:t>eport</w:t>
        </w:r>
      </w:hyperlink>
      <w:r w:rsidRPr="00974048">
        <w:rPr>
          <w:rFonts w:eastAsia="Cambria"/>
          <w:color w:val="000000" w:themeColor="text1"/>
        </w:rPr>
        <w:t xml:space="preserve"> and</w:t>
      </w:r>
      <w:r>
        <w:rPr>
          <w:rFonts w:eastAsia="Cambria"/>
          <w:color w:val="000000" w:themeColor="text1"/>
        </w:rPr>
        <w:t xml:space="preserve"> the</w:t>
      </w:r>
      <w:r w:rsidRPr="00974048">
        <w:rPr>
          <w:rFonts w:eastAsia="Cambria"/>
          <w:color w:val="000000" w:themeColor="text1"/>
        </w:rPr>
        <w:t xml:space="preserve"> </w:t>
      </w:r>
      <w:hyperlink r:id="rId11" w:history="1">
        <w:r>
          <w:rPr>
            <w:rStyle w:val="Hyperlink"/>
            <w:rFonts w:eastAsia="Cambria"/>
            <w:color w:val="000000" w:themeColor="text1"/>
          </w:rPr>
          <w:t>2024</w:t>
        </w:r>
      </w:hyperlink>
      <w:r>
        <w:rPr>
          <w:rStyle w:val="Hyperlink"/>
          <w:rFonts w:eastAsia="Cambria"/>
          <w:color w:val="000000" w:themeColor="text1"/>
        </w:rPr>
        <w:t xml:space="preserve"> final report of the Health and Safety Task Force</w:t>
      </w:r>
      <w:r w:rsidRPr="00974048">
        <w:rPr>
          <w:rFonts w:eastAsia="Cambria"/>
          <w:color w:val="000000" w:themeColor="text1"/>
        </w:rPr>
        <w:t xml:space="preserve"> are incorporated by reference as support for </w:t>
      </w:r>
      <w:r>
        <w:rPr>
          <w:rFonts w:eastAsia="Cambria"/>
          <w:color w:val="000000" w:themeColor="text1"/>
        </w:rPr>
        <w:t>our</w:t>
      </w:r>
      <w:r w:rsidRPr="00974048">
        <w:rPr>
          <w:rFonts w:eastAsia="Cambria"/>
          <w:color w:val="000000" w:themeColor="text1"/>
        </w:rPr>
        <w:t xml:space="preserve"> r</w:t>
      </w:r>
      <w:r w:rsidR="00121621">
        <w:rPr>
          <w:rFonts w:eastAsia="Cambria"/>
          <w:color w:val="000000" w:themeColor="text1"/>
        </w:rPr>
        <w:t>equests of</w:t>
      </w:r>
      <w:r w:rsidRPr="00974048">
        <w:rPr>
          <w:rFonts w:eastAsia="Cambria"/>
          <w:color w:val="000000" w:themeColor="text1"/>
        </w:rPr>
        <w:t xml:space="preserve"> the Washington Department of Ecology Oil Spill Prevention and Response Program to </w:t>
      </w:r>
      <w:r w:rsidR="00121621">
        <w:rPr>
          <w:rFonts w:eastAsia="Cambria"/>
          <w:color w:val="000000" w:themeColor="text1"/>
        </w:rPr>
        <w:t>adopt</w:t>
      </w:r>
      <w:r w:rsidR="00121621">
        <w:rPr>
          <w:rFonts w:eastAsia="Cambria"/>
          <w:color w:val="000000" w:themeColor="text1"/>
        </w:rPr>
        <w:t xml:space="preserve"> three measures</w:t>
      </w:r>
      <w:r w:rsidR="00121621">
        <w:rPr>
          <w:rFonts w:eastAsia="Cambria"/>
          <w:color w:val="000000" w:themeColor="text1"/>
        </w:rPr>
        <w:t>—</w:t>
      </w:r>
      <w:r w:rsidR="00121621">
        <w:rPr>
          <w:rFonts w:eastAsia="Cambria"/>
          <w:color w:val="000000" w:themeColor="text1"/>
        </w:rPr>
        <w:t>Worker Health Monitoring Units, Public Health Assessment Units, and a Regional Citizens’ Advisory Council</w:t>
      </w:r>
      <w:r w:rsidR="00121621">
        <w:rPr>
          <w:rFonts w:eastAsia="Cambria"/>
          <w:color w:val="000000" w:themeColor="text1"/>
        </w:rPr>
        <w:t>—d</w:t>
      </w:r>
      <w:r w:rsidR="00121621">
        <w:rPr>
          <w:rFonts w:eastAsia="Cambria"/>
          <w:color w:val="000000" w:themeColor="text1"/>
        </w:rPr>
        <w:t xml:space="preserve">uring the current revisions to the </w:t>
      </w:r>
      <w:r w:rsidR="00121621">
        <w:rPr>
          <w:rFonts w:eastAsia="Cambria"/>
          <w:color w:val="000000" w:themeColor="text1"/>
        </w:rPr>
        <w:t xml:space="preserve">Northwest Area Plan </w:t>
      </w:r>
      <w:r w:rsidR="00121621">
        <w:rPr>
          <w:rFonts w:eastAsia="Cambria"/>
          <w:color w:val="000000" w:themeColor="text1"/>
        </w:rPr>
        <w:t xml:space="preserve">to </w:t>
      </w:r>
      <w:r w:rsidR="00121621">
        <w:t>ensure oil spill response plans work as intended and do not cause more harm</w:t>
      </w:r>
      <w:r w:rsidRPr="00974048">
        <w:rPr>
          <w:rFonts w:eastAsia="Cambria"/>
          <w:color w:val="000000" w:themeColor="text1"/>
        </w:rPr>
        <w:t>.</w:t>
      </w:r>
    </w:p>
    <w:p w14:paraId="0997C368" w14:textId="77777777" w:rsidR="004C4F48" w:rsidRDefault="004C4F48" w:rsidP="004C4F48">
      <w:pPr>
        <w:pStyle w:val="bellezanormal0"/>
        <w:rPr>
          <w:color w:val="000000" w:themeColor="text1"/>
        </w:rPr>
      </w:pPr>
    </w:p>
    <w:p w14:paraId="1E302056" w14:textId="77777777" w:rsidR="004C4F48" w:rsidRPr="00974048" w:rsidRDefault="004C4F48" w:rsidP="004C4F48">
      <w:pPr>
        <w:pStyle w:val="bellezanormal0"/>
        <w:rPr>
          <w:color w:val="000000" w:themeColor="text1"/>
        </w:rPr>
      </w:pPr>
      <w:r w:rsidRPr="00974048">
        <w:rPr>
          <w:color w:val="000000" w:themeColor="text1"/>
        </w:rPr>
        <w:t>Sincerely,</w:t>
      </w:r>
    </w:p>
    <w:p w14:paraId="37553585" w14:textId="77777777" w:rsidR="004C4F48" w:rsidRPr="00974048" w:rsidRDefault="004C4F48" w:rsidP="004C4F48">
      <w:pPr>
        <w:pStyle w:val="bellezanormal0"/>
        <w:rPr>
          <w:color w:val="000000" w:themeColor="text1"/>
        </w:rPr>
      </w:pPr>
    </w:p>
    <w:p w14:paraId="5AF30495" w14:textId="77777777" w:rsidR="004C4F48" w:rsidRDefault="004C4F48" w:rsidP="004C4F48">
      <w:pPr>
        <w:pStyle w:val="bellezanormal0"/>
        <w:ind w:left="360" w:hanging="360"/>
        <w:rPr>
          <w:color w:val="000000" w:themeColor="text1"/>
        </w:rPr>
      </w:pPr>
      <w:r w:rsidRPr="00974048">
        <w:rPr>
          <w:color w:val="000000" w:themeColor="text1"/>
        </w:rPr>
        <w:t>The ALERT Projec</w:t>
      </w:r>
      <w:r>
        <w:rPr>
          <w:color w:val="000000" w:themeColor="text1"/>
        </w:rPr>
        <w:t>t</w:t>
      </w:r>
    </w:p>
    <w:p w14:paraId="3803BD18" w14:textId="77777777" w:rsidR="004C4F48" w:rsidRPr="00974048" w:rsidRDefault="004C4F48" w:rsidP="004C4F48">
      <w:pPr>
        <w:pStyle w:val="bellezanormal0"/>
        <w:ind w:left="360" w:hanging="360"/>
        <w:rPr>
          <w:color w:val="000000" w:themeColor="text1"/>
        </w:rPr>
      </w:pPr>
      <w:r>
        <w:rPr>
          <w:color w:val="000000" w:themeColor="text1"/>
        </w:rPr>
        <w:tab/>
      </w:r>
      <w:r w:rsidRPr="00974048">
        <w:rPr>
          <w:color w:val="000000" w:themeColor="text1"/>
        </w:rPr>
        <w:t>Riki Ott</w:t>
      </w:r>
    </w:p>
    <w:p w14:paraId="027A09F4" w14:textId="77777777" w:rsidR="004C4F48" w:rsidRDefault="004C4F48" w:rsidP="004C4F48">
      <w:pPr>
        <w:pStyle w:val="bellezanormal0"/>
        <w:ind w:left="360" w:hanging="360"/>
        <w:rPr>
          <w:color w:val="000000" w:themeColor="text1"/>
        </w:rPr>
      </w:pPr>
      <w:r>
        <w:rPr>
          <w:color w:val="000000" w:themeColor="text1"/>
        </w:rPr>
        <w:tab/>
      </w:r>
      <w:r w:rsidRPr="00974048">
        <w:rPr>
          <w:color w:val="000000" w:themeColor="text1"/>
        </w:rPr>
        <w:t>Director</w:t>
      </w:r>
    </w:p>
    <w:p w14:paraId="1EDC8D04" w14:textId="77777777" w:rsidR="004C4F48" w:rsidRPr="00974048" w:rsidRDefault="004C4F48" w:rsidP="004C4F48">
      <w:pPr>
        <w:pStyle w:val="bellezanormal0"/>
        <w:ind w:left="360"/>
        <w:rPr>
          <w:color w:val="000000" w:themeColor="text1"/>
        </w:rPr>
      </w:pPr>
      <w:hyperlink r:id="rId12" w:history="1">
        <w:r w:rsidRPr="00036C4A">
          <w:rPr>
            <w:rStyle w:val="Hyperlink"/>
            <w:color w:val="000000" w:themeColor="text1"/>
          </w:rPr>
          <w:t>riki@alertproject.org</w:t>
        </w:r>
      </w:hyperlink>
      <w:r>
        <w:t xml:space="preserve"> </w:t>
      </w:r>
    </w:p>
    <w:p w14:paraId="0E1A8EDA" w14:textId="77777777" w:rsidR="004C4F48" w:rsidRPr="00974048" w:rsidRDefault="004C4F48" w:rsidP="004C4F48">
      <w:pPr>
        <w:pStyle w:val="bellezanormal0"/>
        <w:ind w:left="360" w:hanging="360"/>
        <w:rPr>
          <w:color w:val="000000" w:themeColor="text1"/>
        </w:rPr>
      </w:pPr>
    </w:p>
    <w:p w14:paraId="50F6BF21" w14:textId="1C5EB1CE" w:rsidR="004C4F48" w:rsidRDefault="00E008B7" w:rsidP="00C51C9F">
      <w:pPr>
        <w:spacing w:line="276" w:lineRule="auto"/>
        <w:contextualSpacing/>
      </w:pPr>
      <w:r>
        <w:t>Others invited…</w:t>
      </w:r>
    </w:p>
    <w:sectPr w:rsidR="004C4F48">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A8B25" w14:textId="77777777" w:rsidR="00D17D19" w:rsidRDefault="00D17D19" w:rsidP="002E5D46">
      <w:r>
        <w:separator/>
      </w:r>
    </w:p>
  </w:endnote>
  <w:endnote w:type="continuationSeparator" w:id="0">
    <w:p w14:paraId="13DD0316" w14:textId="77777777" w:rsidR="00D17D19" w:rsidRDefault="00D17D19"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A21EE" w14:textId="77777777" w:rsidR="00D17D19" w:rsidRDefault="00D17D19" w:rsidP="002E5D46">
      <w:r>
        <w:separator/>
      </w:r>
    </w:p>
  </w:footnote>
  <w:footnote w:type="continuationSeparator" w:id="0">
    <w:p w14:paraId="2FAF158B" w14:textId="77777777" w:rsidR="00D17D19" w:rsidRDefault="00D17D19" w:rsidP="002E5D46">
      <w:r>
        <w:continuationSeparator/>
      </w:r>
    </w:p>
  </w:footnote>
  <w:footnote w:id="1">
    <w:p w14:paraId="010ACD8E" w14:textId="531155BF" w:rsidR="0018237F" w:rsidRDefault="0018237F">
      <w:pPr>
        <w:pStyle w:val="FootnoteText"/>
      </w:pPr>
      <w:r>
        <w:rPr>
          <w:rStyle w:val="FootnoteReference"/>
        </w:rPr>
        <w:footnoteRef/>
      </w:r>
      <w:r>
        <w:t xml:space="preserve"> </w:t>
      </w:r>
      <w:r w:rsidRPr="00A61EDF">
        <w:rPr>
          <w:rFonts w:cs="Calibri"/>
          <w:color w:val="000000" w:themeColor="text1"/>
        </w:rPr>
        <w:t xml:space="preserve">Regional Response Team 10/Northwest Area Committee (RRT 10/NWAC), 2024. Report of the 2023 Health &amp; Safety Task Force. </w:t>
      </w:r>
      <w:hyperlink r:id="rId1" w:history="1">
        <w:r w:rsidRPr="00A61EDF">
          <w:rPr>
            <w:rStyle w:val="Hyperlink"/>
          </w:rPr>
          <w:t>https://www.rrt10nwac.com/</w:t>
        </w:r>
      </w:hyperlink>
    </w:p>
  </w:footnote>
  <w:footnote w:id="2">
    <w:p w14:paraId="64B7EC36" w14:textId="77777777" w:rsidR="008C26BD" w:rsidRDefault="008C26BD" w:rsidP="008C26BD">
      <w:pPr>
        <w:pStyle w:val="FootnoteText"/>
      </w:pPr>
      <w:r>
        <w:rPr>
          <w:rStyle w:val="FootnoteReference"/>
        </w:rPr>
        <w:footnoteRef/>
      </w:r>
      <w:r>
        <w:t xml:space="preserve"> National Commission, 2011, at 139 (each sector) and 268 (undercut the efficacy).</w:t>
      </w:r>
    </w:p>
  </w:footnote>
  <w:footnote w:id="3">
    <w:p w14:paraId="5667D495" w14:textId="7854A7AB" w:rsidR="00B82479" w:rsidRDefault="00B82479">
      <w:pPr>
        <w:pStyle w:val="FootnoteText"/>
      </w:pPr>
      <w:r>
        <w:rPr>
          <w:rStyle w:val="FootnoteReference"/>
        </w:rPr>
        <w:footnoteRef/>
      </w:r>
      <w:r>
        <w:t xml:space="preserve"> </w:t>
      </w:r>
      <w:r w:rsidRPr="00A61EDF">
        <w:t xml:space="preserve">National Commission on BP </w:t>
      </w:r>
      <w:r w:rsidRPr="00A61EDF">
        <w:rPr>
          <w:i/>
        </w:rPr>
        <w:t>Deepwater Horizon</w:t>
      </w:r>
      <w:r w:rsidRPr="00A61EDF">
        <w:t xml:space="preserve"> and Offshore Drilling. 2011. </w:t>
      </w:r>
      <w:r w:rsidRPr="00A61EDF">
        <w:rPr>
          <w:i/>
        </w:rPr>
        <w:t>Deep Water: The Gulf Oil Disaster and the Future of Offshore Drilling. A Report to the President</w:t>
      </w:r>
      <w:r w:rsidRPr="00A61EDF">
        <w:t xml:space="preserve">. </w:t>
      </w:r>
      <w:hyperlink r:id="rId2" w:history="1">
        <w:r w:rsidRPr="00A61EDF">
          <w:rPr>
            <w:rStyle w:val="Hyperlink"/>
          </w:rPr>
          <w:t>https://nrt.org/sites/2/files/GPO-OILCOMMISSION.pdf</w:t>
        </w:r>
      </w:hyperlink>
      <w:r w:rsidRPr="00A61EDF">
        <w:t>, at 265 (critical issues or gaps) and 268 (recommendation C:3).</w:t>
      </w:r>
    </w:p>
  </w:footnote>
  <w:footnote w:id="4">
    <w:p w14:paraId="4AE0ECFA" w14:textId="77777777" w:rsidR="00A9165F" w:rsidRPr="00A61EDF" w:rsidRDefault="00A9165F" w:rsidP="00A9165F">
      <w:pPr>
        <w:pStyle w:val="FootnoteText"/>
      </w:pPr>
      <w:r w:rsidRPr="00A61EDF">
        <w:rPr>
          <w:rStyle w:val="FootnoteReference"/>
        </w:rPr>
        <w:footnoteRef/>
      </w:r>
      <w:r w:rsidRPr="00A61EDF">
        <w:t xml:space="preserve"> 33 USC § 1321(j)(4)(B)(</w:t>
      </w:r>
      <w:proofErr w:type="spellStart"/>
      <w:r w:rsidRPr="00A61EDF">
        <w:t>i</w:t>
      </w:r>
      <w:proofErr w:type="spellEnd"/>
      <w:r w:rsidRPr="00A61EDF">
        <w:t>).</w:t>
      </w:r>
    </w:p>
  </w:footnote>
  <w:footnote w:id="5">
    <w:p w14:paraId="66BF9EA9" w14:textId="1E87B4E1" w:rsidR="002E71CD" w:rsidRDefault="002E71CD">
      <w:pPr>
        <w:pStyle w:val="FootnoteText"/>
      </w:pPr>
      <w:r>
        <w:rPr>
          <w:rStyle w:val="FootnoteReference"/>
        </w:rPr>
        <w:footnoteRef/>
      </w:r>
      <w:r>
        <w:t xml:space="preserve"> For more information on the history and function of ACPs and Regional Citizens’ Advisory Councils, see ALERT, 2024, </w:t>
      </w:r>
      <w:r>
        <w:t xml:space="preserve">An Opportunity to Make It Right. Relating to the Policy and Science of Oil Spills, Dispersant Use, and Human Health. </w:t>
      </w:r>
      <w:hyperlink r:id="rId3" w:history="1">
        <w:r w:rsidRPr="007A4153">
          <w:rPr>
            <w:rStyle w:val="Hyperlink"/>
          </w:rPr>
          <w:t>https://alertproject.org/wp-content/uploads/2024/02/ALERT240212-Opportunity-FINALrev.pdf</w:t>
        </w:r>
      </w:hyperlink>
    </w:p>
  </w:footnote>
  <w:footnote w:id="6">
    <w:p w14:paraId="44D10DA0" w14:textId="77777777" w:rsidR="00BF0894" w:rsidRPr="00A61EDF" w:rsidRDefault="00BF0894" w:rsidP="00BF0894">
      <w:pPr>
        <w:pStyle w:val="FootnoteText"/>
      </w:pPr>
      <w:r w:rsidRPr="00A61EDF">
        <w:rPr>
          <w:rStyle w:val="FootnoteReference"/>
        </w:rPr>
        <w:footnoteRef/>
      </w:r>
      <w:r w:rsidRPr="00A61EDF">
        <w:t xml:space="preserve"> 33 USC § 2732(d)(6).</w:t>
      </w:r>
    </w:p>
  </w:footnote>
  <w:footnote w:id="7">
    <w:p w14:paraId="7C1298CF" w14:textId="77777777" w:rsidR="00A42495" w:rsidRPr="00A61EDF" w:rsidRDefault="00A42495" w:rsidP="00A42495">
      <w:pPr>
        <w:pStyle w:val="FootnoteText"/>
      </w:pPr>
      <w:r w:rsidRPr="00A61EDF">
        <w:rPr>
          <w:rStyle w:val="FootnoteReference"/>
        </w:rPr>
        <w:footnoteRef/>
      </w:r>
      <w:r w:rsidRPr="00A61EDF">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 w:id="8">
    <w:p w14:paraId="26DFE606" w14:textId="77777777" w:rsidR="00A42495" w:rsidRPr="00A61EDF" w:rsidRDefault="00A42495" w:rsidP="00A42495">
      <w:pPr>
        <w:tabs>
          <w:tab w:val="left" w:pos="180"/>
          <w:tab w:val="left" w:pos="270"/>
        </w:tabs>
        <w:rPr>
          <w:rFonts w:cs="Calibri"/>
          <w:color w:val="000000" w:themeColor="text1"/>
          <w:sz w:val="20"/>
          <w:szCs w:val="20"/>
        </w:rPr>
      </w:pPr>
      <w:r w:rsidRPr="00A61EDF">
        <w:rPr>
          <w:rStyle w:val="FootnoteReference"/>
          <w:color w:val="000000" w:themeColor="text1"/>
        </w:rPr>
        <w:footnoteRef/>
      </w:r>
      <w:r w:rsidRPr="00A61EDF">
        <w:rPr>
          <w:color w:val="000000" w:themeColor="text1"/>
          <w:sz w:val="20"/>
          <w:szCs w:val="20"/>
        </w:rPr>
        <w:t xml:space="preserve"> </w:t>
      </w:r>
      <w:r w:rsidRPr="00A61EDF">
        <w:rPr>
          <w:rFonts w:cs="Calibri"/>
          <w:color w:val="000000" w:themeColor="text1"/>
          <w:sz w:val="20"/>
          <w:szCs w:val="20"/>
        </w:rPr>
        <w:t xml:space="preserve">Regional Response Team 10/Northwest Area Committee (RRT 10/NWAC), 2024. Report of the 2023 Health &amp; Safety Task Force. </w:t>
      </w:r>
      <w:hyperlink r:id="rId4" w:history="1">
        <w:r w:rsidRPr="00A61EDF">
          <w:rPr>
            <w:rStyle w:val="Hyperlink"/>
          </w:rPr>
          <w:t>https://www.rrt10nwac.com/</w:t>
        </w:r>
      </w:hyperlink>
      <w:r w:rsidRPr="00A61EDF">
        <w:rPr>
          <w:rFonts w:cs="Calibri"/>
          <w:color w:val="000000" w:themeColor="text1"/>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8"/>
  </w:num>
  <w:num w:numId="2" w16cid:durableId="347828950">
    <w:abstractNumId w:val="5"/>
  </w:num>
  <w:num w:numId="3" w16cid:durableId="1439444097">
    <w:abstractNumId w:val="1"/>
  </w:num>
  <w:num w:numId="4" w16cid:durableId="904610798">
    <w:abstractNumId w:val="1"/>
  </w:num>
  <w:num w:numId="5" w16cid:durableId="495533081">
    <w:abstractNumId w:val="7"/>
  </w:num>
  <w:num w:numId="6" w16cid:durableId="680081388">
    <w:abstractNumId w:val="0"/>
  </w:num>
  <w:num w:numId="7" w16cid:durableId="1450852394">
    <w:abstractNumId w:val="6"/>
  </w:num>
  <w:num w:numId="8" w16cid:durableId="10060588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3"/>
  </w:num>
  <w:num w:numId="10" w16cid:durableId="1924299134">
    <w:abstractNumId w:val="3"/>
  </w:num>
  <w:num w:numId="11" w16cid:durableId="767506773">
    <w:abstractNumId w:val="3"/>
  </w:num>
  <w:num w:numId="12" w16cid:durableId="19354956">
    <w:abstractNumId w:val="3"/>
  </w:num>
  <w:num w:numId="13" w16cid:durableId="1494683937">
    <w:abstractNumId w:val="3"/>
  </w:num>
  <w:num w:numId="14" w16cid:durableId="1004432313">
    <w:abstractNumId w:val="9"/>
  </w:num>
  <w:num w:numId="15" w16cid:durableId="1258054335">
    <w:abstractNumId w:val="4"/>
  </w:num>
  <w:num w:numId="16" w16cid:durableId="888027749">
    <w:abstractNumId w:val="4"/>
  </w:num>
  <w:num w:numId="17" w16cid:durableId="80490269">
    <w:abstractNumId w:val="2"/>
  </w:num>
  <w:num w:numId="18" w16cid:durableId="1242374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1"/>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2C22"/>
    <w:rsid w:val="000111F1"/>
    <w:rsid w:val="000507D9"/>
    <w:rsid w:val="00093C95"/>
    <w:rsid w:val="000E095D"/>
    <w:rsid w:val="000F28B7"/>
    <w:rsid w:val="0010375D"/>
    <w:rsid w:val="001110C4"/>
    <w:rsid w:val="00111C32"/>
    <w:rsid w:val="001179AE"/>
    <w:rsid w:val="00121621"/>
    <w:rsid w:val="00162E1A"/>
    <w:rsid w:val="001733C0"/>
    <w:rsid w:val="0018237F"/>
    <w:rsid w:val="001D2A5E"/>
    <w:rsid w:val="001F4086"/>
    <w:rsid w:val="002A529A"/>
    <w:rsid w:val="002D7A5A"/>
    <w:rsid w:val="002E4FB8"/>
    <w:rsid w:val="002E5D46"/>
    <w:rsid w:val="002E71CD"/>
    <w:rsid w:val="003210C2"/>
    <w:rsid w:val="00336ECB"/>
    <w:rsid w:val="00363C22"/>
    <w:rsid w:val="00371993"/>
    <w:rsid w:val="003D276F"/>
    <w:rsid w:val="003F0A62"/>
    <w:rsid w:val="004374CA"/>
    <w:rsid w:val="00474E75"/>
    <w:rsid w:val="004B139B"/>
    <w:rsid w:val="004C4F48"/>
    <w:rsid w:val="004E4EF4"/>
    <w:rsid w:val="00504968"/>
    <w:rsid w:val="00505114"/>
    <w:rsid w:val="0053792F"/>
    <w:rsid w:val="00566BB0"/>
    <w:rsid w:val="00594C19"/>
    <w:rsid w:val="00652C1A"/>
    <w:rsid w:val="006A04F8"/>
    <w:rsid w:val="006C5A3B"/>
    <w:rsid w:val="006F6E13"/>
    <w:rsid w:val="00702071"/>
    <w:rsid w:val="00715A88"/>
    <w:rsid w:val="007377EC"/>
    <w:rsid w:val="007F5409"/>
    <w:rsid w:val="007F6A59"/>
    <w:rsid w:val="00806AF1"/>
    <w:rsid w:val="008537EE"/>
    <w:rsid w:val="00865BE0"/>
    <w:rsid w:val="008C26BD"/>
    <w:rsid w:val="008C2BC7"/>
    <w:rsid w:val="008F69E3"/>
    <w:rsid w:val="009269F2"/>
    <w:rsid w:val="00927442"/>
    <w:rsid w:val="00935A9A"/>
    <w:rsid w:val="00961FE9"/>
    <w:rsid w:val="0099441A"/>
    <w:rsid w:val="009A532E"/>
    <w:rsid w:val="009B33CB"/>
    <w:rsid w:val="009F03E7"/>
    <w:rsid w:val="00A42495"/>
    <w:rsid w:val="00A44EB9"/>
    <w:rsid w:val="00A73A87"/>
    <w:rsid w:val="00A77214"/>
    <w:rsid w:val="00A912E1"/>
    <w:rsid w:val="00A9165F"/>
    <w:rsid w:val="00AC54A8"/>
    <w:rsid w:val="00B82479"/>
    <w:rsid w:val="00B91C25"/>
    <w:rsid w:val="00BD43E0"/>
    <w:rsid w:val="00BF0894"/>
    <w:rsid w:val="00BF089B"/>
    <w:rsid w:val="00C360EB"/>
    <w:rsid w:val="00C51C9F"/>
    <w:rsid w:val="00C557BB"/>
    <w:rsid w:val="00C77C43"/>
    <w:rsid w:val="00C80208"/>
    <w:rsid w:val="00C805EA"/>
    <w:rsid w:val="00CA14F2"/>
    <w:rsid w:val="00CA31D4"/>
    <w:rsid w:val="00CC3705"/>
    <w:rsid w:val="00CF7C9E"/>
    <w:rsid w:val="00D044C5"/>
    <w:rsid w:val="00D17D19"/>
    <w:rsid w:val="00D24F71"/>
    <w:rsid w:val="00D250A3"/>
    <w:rsid w:val="00DD44C5"/>
    <w:rsid w:val="00E008B7"/>
    <w:rsid w:val="00E12C3E"/>
    <w:rsid w:val="00E458CD"/>
    <w:rsid w:val="00E55913"/>
    <w:rsid w:val="00E860BC"/>
    <w:rsid w:val="00E94B3D"/>
    <w:rsid w:val="00EA1A02"/>
    <w:rsid w:val="00F64CC2"/>
    <w:rsid w:val="00F72019"/>
    <w:rsid w:val="00F85C14"/>
    <w:rsid w:val="00FA2D97"/>
    <w:rsid w:val="00FC552F"/>
    <w:rsid w:val="00FE15ED"/>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clements@ecy.w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ki@alertprojec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8/EPA-DELIST-petition-FINAL-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lertproject.org/wp-content/uploads/2024/02/ALERT240212-Opportunity-FINALrev.pdf" TargetMode="External"/><Relationship Id="rId4" Type="http://schemas.openxmlformats.org/officeDocument/2006/relationships/settings" Target="settings.xml"/><Relationship Id="rId9" Type="http://schemas.openxmlformats.org/officeDocument/2006/relationships/hyperlink" Target="https://alertproject.org/wp-content/uploads/2024/02/HSTF-report-20230214-1.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alertproject.org/wp-content/uploads/2024/02/ALERT240212-Opportunity-FINALrev.pdf"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www.rrt10nwac.com/" TargetMode="External"/><Relationship Id="rId4" Type="http://schemas.openxmlformats.org/officeDocument/2006/relationships/hyperlink" Target="https://www.rrt10nw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4</Pages>
  <Words>1319</Words>
  <Characters>7482</Characters>
  <Application>Microsoft Office Word</Application>
  <DocSecurity>0</DocSecurity>
  <Lines>133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23</cp:revision>
  <dcterms:created xsi:type="dcterms:W3CDTF">2024-10-19T13:27:00Z</dcterms:created>
  <dcterms:modified xsi:type="dcterms:W3CDTF">2024-10-20T16:46:00Z</dcterms:modified>
</cp:coreProperties>
</file>