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15A73569" w14:textId="77777777" w:rsidR="00F21E70" w:rsidRDefault="00F21E70" w:rsidP="00F21E70">
      <w:pPr>
        <w:pStyle w:val="bellezanormal0"/>
        <w:rPr>
          <w:rFonts w:eastAsia="Cambria"/>
          <w:color w:val="000000" w:themeColor="text1"/>
        </w:rPr>
      </w:pPr>
      <w:r>
        <w:rPr>
          <w:rFonts w:eastAsia="Cambria"/>
          <w:color w:val="000000" w:themeColor="text1"/>
        </w:rPr>
        <w:t xml:space="preserve">Louisiana </w:t>
      </w:r>
      <w:r w:rsidRPr="005811EC">
        <w:rPr>
          <w:rFonts w:eastAsia="Cambria"/>
          <w:color w:val="000000" w:themeColor="text1"/>
        </w:rPr>
        <w:t xml:space="preserve">Governor's Office of Homeland Security </w:t>
      </w:r>
    </w:p>
    <w:p w14:paraId="4AB8AB9A" w14:textId="77777777" w:rsidR="00F21E70" w:rsidRDefault="00F21E70" w:rsidP="00F21E70">
      <w:pPr>
        <w:pStyle w:val="bellezanormal0"/>
        <w:ind w:left="360" w:hanging="360"/>
        <w:rPr>
          <w:rFonts w:eastAsia="Cambria"/>
          <w:color w:val="000000" w:themeColor="text1"/>
        </w:rPr>
      </w:pPr>
      <w:r>
        <w:rPr>
          <w:rFonts w:eastAsia="Cambria"/>
          <w:color w:val="000000" w:themeColor="text1"/>
        </w:rPr>
        <w:tab/>
      </w:r>
      <w:r w:rsidRPr="005811EC">
        <w:rPr>
          <w:rFonts w:eastAsia="Cambria"/>
          <w:color w:val="000000" w:themeColor="text1"/>
        </w:rPr>
        <w:t>and Emergency Preparedness</w:t>
      </w:r>
      <w:r>
        <w:rPr>
          <w:rFonts w:eastAsia="Cambria"/>
          <w:color w:val="000000" w:themeColor="text1"/>
        </w:rPr>
        <w:t xml:space="preserve"> </w:t>
      </w:r>
    </w:p>
    <w:p w14:paraId="299BFE1A" w14:textId="77777777" w:rsidR="00F21E70" w:rsidRPr="00974048" w:rsidRDefault="00F21E70" w:rsidP="00F21E70">
      <w:pPr>
        <w:pStyle w:val="bellezanormal0"/>
        <w:rPr>
          <w:rFonts w:eastAsia="Cambria"/>
          <w:color w:val="000000" w:themeColor="text1"/>
        </w:rPr>
      </w:pPr>
      <w:r>
        <w:rPr>
          <w:rFonts w:eastAsia="Cambria"/>
          <w:color w:val="000000" w:themeColor="text1"/>
        </w:rPr>
        <w:t xml:space="preserve">Attn: </w:t>
      </w:r>
      <w:r w:rsidRPr="005811EC">
        <w:rPr>
          <w:rFonts w:eastAsia="Cambria"/>
          <w:color w:val="000000" w:themeColor="text1"/>
        </w:rPr>
        <w:t>Jacques Thibodeaux</w:t>
      </w:r>
      <w:r>
        <w:rPr>
          <w:rFonts w:eastAsia="Cambria"/>
          <w:color w:val="000000" w:themeColor="text1"/>
        </w:rPr>
        <w:t>, Director</w:t>
      </w:r>
    </w:p>
    <w:p w14:paraId="606FE60A" w14:textId="77777777" w:rsidR="00F21E70" w:rsidRDefault="00F21E70" w:rsidP="00F21E70">
      <w:pPr>
        <w:pStyle w:val="bellezanormal0"/>
        <w:rPr>
          <w:rFonts w:eastAsia="Cambria"/>
          <w:color w:val="000000" w:themeColor="text1"/>
        </w:rPr>
      </w:pPr>
      <w:r w:rsidRPr="00974048">
        <w:rPr>
          <w:rFonts w:eastAsia="Cambria"/>
          <w:color w:val="000000" w:themeColor="text1"/>
        </w:rPr>
        <w:t xml:space="preserve">EMAIL:  </w:t>
      </w:r>
      <w:hyperlink r:id="rId8" w:history="1">
        <w:r w:rsidRPr="00C969D9">
          <w:rPr>
            <w:rStyle w:val="Hyperlink"/>
            <w:rFonts w:eastAsia="Cambria"/>
            <w:color w:val="000000" w:themeColor="text1"/>
          </w:rPr>
          <w:t>Jacques.thibodeaux@gohsep.la.gov</w:t>
        </w:r>
      </w:hyperlink>
      <w:r>
        <w:rPr>
          <w:rFonts w:eastAsia="Cambria"/>
          <w:color w:val="000000" w:themeColor="text1"/>
        </w:rPr>
        <w:t xml:space="preserve"> </w:t>
      </w:r>
    </w:p>
    <w:p w14:paraId="0330DADF" w14:textId="77777777" w:rsidR="00A232EB" w:rsidRDefault="00A232EB" w:rsidP="00523084">
      <w:pPr>
        <w:pStyle w:val="bellezanormal0"/>
        <w:tabs>
          <w:tab w:val="clear" w:pos="720"/>
          <w:tab w:val="left" w:pos="540"/>
          <w:tab w:val="left" w:pos="5040"/>
        </w:tabs>
        <w:rPr>
          <w:rFonts w:eastAsia="Cambria"/>
          <w:color w:val="000000" w:themeColor="text1"/>
        </w:rPr>
      </w:pPr>
    </w:p>
    <w:p w14:paraId="274CC8D4" w14:textId="57CA33C4"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738C04BA" w:rsidR="002D7A5A" w:rsidRPr="00974048" w:rsidRDefault="002D7A5A" w:rsidP="00595C5D">
      <w:pPr>
        <w:pStyle w:val="bellezanormal0"/>
        <w:rPr>
          <w:color w:val="000000" w:themeColor="text1"/>
        </w:rPr>
      </w:pPr>
      <w:r w:rsidRPr="00974048">
        <w:rPr>
          <w:color w:val="000000" w:themeColor="text1"/>
        </w:rPr>
        <w:t xml:space="preserve">Dear </w:t>
      </w:r>
      <w:r w:rsidR="009811B0">
        <w:rPr>
          <w:color w:val="000000" w:themeColor="text1"/>
        </w:rPr>
        <w:t>Director</w:t>
      </w:r>
      <w:r w:rsidR="00F21E70" w:rsidRPr="00974048">
        <w:rPr>
          <w:color w:val="000000" w:themeColor="text1"/>
        </w:rPr>
        <w:t xml:space="preserve"> </w:t>
      </w:r>
      <w:r w:rsidR="00F21E70">
        <w:rPr>
          <w:rFonts w:eastAsia="Cambria"/>
          <w:color w:val="000000" w:themeColor="text1"/>
        </w:rPr>
        <w:t>Thibodeaux</w:t>
      </w:r>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20BF0439"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3563B5">
        <w:rPr>
          <w:rFonts w:eastAsia="Cambria"/>
          <w:color w:val="000000" w:themeColor="text1"/>
        </w:rPr>
        <w:t>Louisiana</w:t>
      </w:r>
      <w:r w:rsidR="003563B5" w:rsidRPr="00974048">
        <w:rPr>
          <w:color w:val="000000" w:themeColor="text1"/>
        </w:rPr>
        <w:t xml:space="preserve"> </w:t>
      </w:r>
      <w:r w:rsidR="00445E4C" w:rsidRPr="00974048">
        <w:rPr>
          <w:color w:val="000000" w:themeColor="text1"/>
        </w:rPr>
        <w:t>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445E4C" w:rsidRPr="00D95387">
        <w:rPr>
          <w:color w:val="000000" w:themeColor="text1"/>
        </w:rPr>
        <w:t xml:space="preserve">Region </w:t>
      </w:r>
      <w:r w:rsidR="00A232EB">
        <w:rPr>
          <w:color w:val="000000" w:themeColor="text1"/>
        </w:rPr>
        <w:t>V</w:t>
      </w:r>
      <w:r w:rsidR="00770785">
        <w:rPr>
          <w:color w:val="000000" w:themeColor="text1"/>
        </w:rPr>
        <w:t>I</w:t>
      </w:r>
      <w:r w:rsidR="00445E4C">
        <w:rPr>
          <w:color w:val="000000" w:themeColor="text1"/>
        </w:rPr>
        <w:t xml:space="preserve">, which includes the State of </w:t>
      </w:r>
      <w:r w:rsidR="003563B5">
        <w:rPr>
          <w:rFonts w:eastAsia="Cambria"/>
          <w:color w:val="000000" w:themeColor="text1"/>
        </w:rPr>
        <w:t>Louisiana</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6E59AE69"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3563B5">
        <w:rPr>
          <w:rFonts w:eastAsia="Cambria"/>
          <w:color w:val="000000" w:themeColor="text1"/>
        </w:rPr>
        <w:t>Louisiana</w:t>
      </w:r>
      <w:r w:rsidR="005C5AE8">
        <w:rPr>
          <w:color w:val="000000" w:themeColor="text1"/>
        </w:rPr>
        <w:t>-</w:t>
      </w:r>
      <w:r w:rsidR="00E12C3E" w:rsidRPr="00974048">
        <w:rPr>
          <w:color w:val="000000" w:themeColor="text1"/>
        </w:rPr>
        <w:t xml:space="preserve">based organizations </w:t>
      </w:r>
      <w:r w:rsidR="00770785">
        <w:rPr>
          <w:color w:val="000000" w:themeColor="text1"/>
        </w:rPr>
        <w:t xml:space="preserve">and/or members </w:t>
      </w:r>
      <w:r w:rsidR="00E12C3E" w:rsidRPr="00974048">
        <w:rPr>
          <w:color w:val="000000" w:themeColor="text1"/>
        </w:rPr>
        <w:t xml:space="preserve">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2098D4CE" w:rsidR="00E860BC" w:rsidRDefault="00445E4C" w:rsidP="00E12C3E">
      <w:pPr>
        <w:pStyle w:val="bellezanormal0"/>
        <w:rPr>
          <w:color w:val="000000" w:themeColor="text1"/>
        </w:rPr>
      </w:pPr>
      <w:r>
        <w:rPr>
          <w:color w:val="000000" w:themeColor="text1"/>
        </w:rPr>
        <w:lastRenderedPageBreak/>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 xml:space="preserve">Region </w:t>
      </w:r>
      <w:r w:rsidR="00A232EB">
        <w:rPr>
          <w:color w:val="000000" w:themeColor="text1"/>
        </w:rPr>
        <w:t>V</w:t>
      </w:r>
      <w:r w:rsidR="00770785">
        <w:rPr>
          <w:color w:val="000000" w:themeColor="text1"/>
        </w:rPr>
        <w:t>I</w:t>
      </w:r>
      <w:r>
        <w:rPr>
          <w:color w:val="000000" w:themeColor="text1"/>
        </w:rPr>
        <w:t xml:space="preserve"> and nationwide—to </w:t>
      </w:r>
      <w:r w:rsidR="003D3209">
        <w:rPr>
          <w:color w:val="000000" w:themeColor="text1"/>
        </w:rPr>
        <w:t xml:space="preserve">carefully review the entirety of Chapter 4: Area Contingency Planning Policy of the USCG 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xml:space="preserve">: In 2021, teams of scientists found the immunology-based biomechanism that triggers </w:t>
      </w:r>
      <w:r>
        <w:lastRenderedPageBreak/>
        <w:t>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w:t>
      </w:r>
      <w:r w:rsidR="00C557BB" w:rsidRPr="00C557BB">
        <w:lastRenderedPageBreak/>
        <w:t xml:space="preserve">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75D64A33"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 xml:space="preserve">Region </w:t>
      </w:r>
      <w:r w:rsidR="00770785">
        <w:t>VI</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w:t>
      </w:r>
      <w:r>
        <w:lastRenderedPageBreak/>
        <w:t>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lastRenderedPageBreak/>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4C78A810" w14:textId="49DD6FD7" w:rsidR="00D95387" w:rsidRPr="00974048" w:rsidRDefault="00D95387" w:rsidP="00D95387">
      <w:pPr>
        <w:tabs>
          <w:tab w:val="left" w:pos="5040"/>
        </w:tabs>
        <w:ind w:left="360"/>
        <w:rPr>
          <w:color w:val="000000" w:themeColor="text1"/>
        </w:rPr>
      </w:pPr>
      <w:r w:rsidRPr="00974048">
        <w:rPr>
          <w:color w:val="000000" w:themeColor="text1"/>
        </w:rPr>
        <w:t xml:space="preserve">RRT </w:t>
      </w:r>
      <w:r w:rsidR="00770785">
        <w:rPr>
          <w:color w:val="000000" w:themeColor="text1"/>
        </w:rPr>
        <w:t>VI</w:t>
      </w:r>
      <w:r w:rsidRPr="00974048">
        <w:rPr>
          <w:color w:val="000000" w:themeColor="text1"/>
        </w:rPr>
        <w:t xml:space="preserve"> EPA </w:t>
      </w:r>
      <w:r w:rsidR="00FC1D30">
        <w:rPr>
          <w:color w:val="000000" w:themeColor="text1"/>
        </w:rPr>
        <w:t>C</w:t>
      </w:r>
      <w:r w:rsidRPr="00974048">
        <w:rPr>
          <w:color w:val="000000" w:themeColor="text1"/>
        </w:rPr>
        <w:t>o-chair</w:t>
      </w:r>
      <w:r w:rsidRPr="00974048">
        <w:rPr>
          <w:color w:val="000000" w:themeColor="text1"/>
        </w:rPr>
        <w:tab/>
        <w:t xml:space="preserve">RRT </w:t>
      </w:r>
      <w:r w:rsidR="00770785">
        <w:rPr>
          <w:color w:val="000000" w:themeColor="text1"/>
        </w:rPr>
        <w:t>VI</w:t>
      </w:r>
      <w:r w:rsidRPr="00974048">
        <w:rPr>
          <w:color w:val="000000" w:themeColor="text1"/>
        </w:rPr>
        <w:t xml:space="preserve"> US Coast Guard </w:t>
      </w:r>
      <w:r w:rsidR="00FC1D30">
        <w:rPr>
          <w:color w:val="000000" w:themeColor="text1"/>
        </w:rPr>
        <w:t>C</w:t>
      </w:r>
      <w:r w:rsidRPr="00974048">
        <w:rPr>
          <w:color w:val="000000" w:themeColor="text1"/>
        </w:rPr>
        <w:t>o-chair</w:t>
      </w:r>
    </w:p>
    <w:p w14:paraId="4BD43E5C" w14:textId="074910C0" w:rsidR="00D95387" w:rsidRPr="00974048" w:rsidRDefault="00A232EB" w:rsidP="00D95387">
      <w:pPr>
        <w:tabs>
          <w:tab w:val="left" w:pos="5040"/>
        </w:tabs>
        <w:ind w:left="360"/>
        <w:rPr>
          <w:color w:val="000000" w:themeColor="text1"/>
        </w:rPr>
      </w:pPr>
      <w:r>
        <w:rPr>
          <w:color w:val="000000" w:themeColor="text1"/>
        </w:rPr>
        <w:t>James Webster</w:t>
      </w:r>
      <w:r w:rsidR="00D95387" w:rsidRPr="00974048">
        <w:rPr>
          <w:color w:val="000000" w:themeColor="text1"/>
        </w:rPr>
        <w:tab/>
      </w:r>
      <w:r>
        <w:rPr>
          <w:color w:val="000000" w:themeColor="text1"/>
        </w:rPr>
        <w:t>Richard Lavigne</w:t>
      </w:r>
    </w:p>
    <w:p w14:paraId="28693361" w14:textId="773C7083" w:rsidR="00D95387" w:rsidRPr="00BC31D9" w:rsidRDefault="00BC31D9" w:rsidP="00D95387">
      <w:pPr>
        <w:tabs>
          <w:tab w:val="left" w:pos="5040"/>
        </w:tabs>
        <w:ind w:left="360"/>
        <w:rPr>
          <w:color w:val="000000" w:themeColor="text1"/>
        </w:rPr>
      </w:pPr>
      <w:hyperlink r:id="rId9" w:history="1">
        <w:r w:rsidRPr="00BC31D9">
          <w:rPr>
            <w:rStyle w:val="Hyperlink"/>
            <w:color w:val="000000" w:themeColor="text1"/>
          </w:rPr>
          <w:t>Webster.James@epa.gov</w:t>
        </w:r>
      </w:hyperlink>
      <w:r w:rsidRPr="00BC31D9">
        <w:rPr>
          <w:color w:val="000000" w:themeColor="text1"/>
        </w:rPr>
        <w:t xml:space="preserve"> </w:t>
      </w:r>
      <w:r w:rsidR="00D95387" w:rsidRPr="00BC31D9">
        <w:rPr>
          <w:color w:val="000000" w:themeColor="text1"/>
        </w:rPr>
        <w:t xml:space="preserve"> </w:t>
      </w:r>
      <w:r w:rsidR="00D95387" w:rsidRPr="00BC31D9">
        <w:rPr>
          <w:color w:val="000000" w:themeColor="text1"/>
        </w:rPr>
        <w:tab/>
      </w:r>
      <w:hyperlink r:id="rId10" w:history="1">
        <w:r w:rsidRPr="00BC31D9">
          <w:rPr>
            <w:rStyle w:val="Hyperlink"/>
            <w:color w:val="000000" w:themeColor="text1"/>
          </w:rPr>
          <w:t>Richard.J.Lavigne@uscg.mil</w:t>
        </w:r>
      </w:hyperlink>
      <w:r w:rsidRPr="00BC31D9">
        <w:rPr>
          <w:color w:val="000000" w:themeColor="text1"/>
        </w:rPr>
        <w:t xml:space="preserve"> </w:t>
      </w:r>
    </w:p>
    <w:p w14:paraId="66E4CF8D" w14:textId="77777777" w:rsidR="00D95387" w:rsidRDefault="00D95387" w:rsidP="00D95387">
      <w:pPr>
        <w:tabs>
          <w:tab w:val="left" w:pos="5040"/>
        </w:tabs>
        <w:ind w:left="360"/>
        <w:rPr>
          <w:color w:val="000000" w:themeColor="text1"/>
        </w:rPr>
      </w:pPr>
    </w:p>
    <w:p w14:paraId="187DF86A" w14:textId="09CBBD0D" w:rsidR="00FC1D30" w:rsidRDefault="00FC1D30" w:rsidP="00FC1D30">
      <w:pPr>
        <w:tabs>
          <w:tab w:val="left" w:pos="5040"/>
        </w:tabs>
        <w:ind w:left="360"/>
        <w:rPr>
          <w:color w:val="000000" w:themeColor="text1"/>
        </w:rPr>
      </w:pPr>
      <w:r>
        <w:rPr>
          <w:color w:val="000000" w:themeColor="text1"/>
        </w:rPr>
        <w:t xml:space="preserve">RRT </w:t>
      </w:r>
      <w:r w:rsidR="00770785">
        <w:rPr>
          <w:color w:val="000000" w:themeColor="text1"/>
        </w:rPr>
        <w:t>VI</w:t>
      </w:r>
      <w:r>
        <w:rPr>
          <w:color w:val="000000" w:themeColor="text1"/>
        </w:rPr>
        <w:t xml:space="preserve"> EPA Coordinator</w:t>
      </w:r>
      <w:r>
        <w:rPr>
          <w:color w:val="000000" w:themeColor="text1"/>
        </w:rPr>
        <w:tab/>
        <w:t xml:space="preserve">RRT </w:t>
      </w:r>
      <w:r w:rsidR="00770785">
        <w:rPr>
          <w:color w:val="000000" w:themeColor="text1"/>
        </w:rPr>
        <w:t>VI</w:t>
      </w:r>
      <w:r>
        <w:rPr>
          <w:color w:val="000000" w:themeColor="text1"/>
        </w:rPr>
        <w:t xml:space="preserve"> US Coast Guard Coordinator</w:t>
      </w:r>
    </w:p>
    <w:p w14:paraId="6ACE2064" w14:textId="0861C717" w:rsidR="00FC1D30" w:rsidRDefault="00342777" w:rsidP="00D95387">
      <w:pPr>
        <w:tabs>
          <w:tab w:val="left" w:pos="5040"/>
        </w:tabs>
        <w:ind w:left="360"/>
        <w:rPr>
          <w:color w:val="000000" w:themeColor="text1"/>
        </w:rPr>
      </w:pPr>
      <w:r>
        <w:rPr>
          <w:color w:val="000000" w:themeColor="text1"/>
        </w:rPr>
        <w:t>Bray Fisher</w:t>
      </w:r>
      <w:r w:rsidR="00770785">
        <w:rPr>
          <w:color w:val="000000" w:themeColor="text1"/>
        </w:rPr>
        <w:tab/>
        <w:t>Todd Peterson</w:t>
      </w:r>
    </w:p>
    <w:p w14:paraId="20EF0FDF" w14:textId="0FEFF752" w:rsidR="00342777" w:rsidRPr="00342777" w:rsidRDefault="00342777" w:rsidP="00D95387">
      <w:pPr>
        <w:tabs>
          <w:tab w:val="left" w:pos="5040"/>
        </w:tabs>
        <w:ind w:left="360"/>
        <w:rPr>
          <w:color w:val="000000" w:themeColor="text1"/>
        </w:rPr>
      </w:pPr>
      <w:hyperlink r:id="rId11" w:history="1">
        <w:r w:rsidRPr="00342777">
          <w:rPr>
            <w:rStyle w:val="Hyperlink"/>
            <w:color w:val="000000" w:themeColor="text1"/>
            <w:shd w:val="clear" w:color="auto" w:fill="FFFFFF"/>
          </w:rPr>
          <w:t>fisher.kelsey@epa.gov</w:t>
        </w:r>
      </w:hyperlink>
      <w:r w:rsidRPr="00342777">
        <w:rPr>
          <w:color w:val="000000" w:themeColor="text1"/>
          <w:shd w:val="clear" w:color="auto" w:fill="FFFFFF"/>
        </w:rPr>
        <w:t xml:space="preserve"> </w:t>
      </w:r>
      <w:r w:rsidRPr="00342777">
        <w:rPr>
          <w:color w:val="000000" w:themeColor="text1"/>
        </w:rPr>
        <w:tab/>
      </w:r>
      <w:hyperlink r:id="rId12" w:history="1">
        <w:r w:rsidRPr="00342777">
          <w:rPr>
            <w:rStyle w:val="Hyperlink"/>
            <w:color w:val="000000" w:themeColor="text1"/>
          </w:rPr>
          <w:t>Todd.M.Peterson@uscg.mil</w:t>
        </w:r>
      </w:hyperlink>
      <w:r w:rsidRPr="00342777">
        <w:rPr>
          <w:color w:val="000000" w:themeColor="text1"/>
        </w:rPr>
        <w:t xml:space="preserve"> </w:t>
      </w:r>
    </w:p>
    <w:p w14:paraId="3D882006" w14:textId="77777777" w:rsidR="00342777" w:rsidRDefault="00342777" w:rsidP="00D95387">
      <w:pPr>
        <w:tabs>
          <w:tab w:val="left" w:pos="5040"/>
        </w:tabs>
        <w:ind w:left="360"/>
        <w:rPr>
          <w:color w:val="000000" w:themeColor="text1"/>
        </w:rPr>
      </w:pPr>
    </w:p>
    <w:p w14:paraId="72FB40B7" w14:textId="7EE6317A"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3"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99359" w14:textId="77777777" w:rsidR="000A3A22" w:rsidRDefault="000A3A22" w:rsidP="002E5D46">
      <w:r>
        <w:separator/>
      </w:r>
    </w:p>
  </w:endnote>
  <w:endnote w:type="continuationSeparator" w:id="0">
    <w:p w14:paraId="198ABAAA" w14:textId="77777777" w:rsidR="000A3A22" w:rsidRDefault="000A3A22"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98DA7" w14:textId="77777777" w:rsidR="000A3A22" w:rsidRDefault="000A3A22" w:rsidP="002E5D46">
      <w:r>
        <w:separator/>
      </w:r>
    </w:p>
  </w:footnote>
  <w:footnote w:type="continuationSeparator" w:id="0">
    <w:p w14:paraId="063DC9A5" w14:textId="77777777" w:rsidR="000A3A22" w:rsidRDefault="000A3A22"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030A7"/>
    <w:rsid w:val="000111F1"/>
    <w:rsid w:val="00032E98"/>
    <w:rsid w:val="00037E27"/>
    <w:rsid w:val="000507D9"/>
    <w:rsid w:val="000569F3"/>
    <w:rsid w:val="000654AE"/>
    <w:rsid w:val="000830DC"/>
    <w:rsid w:val="00092F91"/>
    <w:rsid w:val="00093C95"/>
    <w:rsid w:val="000A2285"/>
    <w:rsid w:val="000A3A22"/>
    <w:rsid w:val="000A3C2A"/>
    <w:rsid w:val="000A78FF"/>
    <w:rsid w:val="000C501C"/>
    <w:rsid w:val="000D5A10"/>
    <w:rsid w:val="000E095D"/>
    <w:rsid w:val="000E7E7C"/>
    <w:rsid w:val="000F270A"/>
    <w:rsid w:val="000F28B7"/>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4086"/>
    <w:rsid w:val="00264D1B"/>
    <w:rsid w:val="00270FB3"/>
    <w:rsid w:val="00275C10"/>
    <w:rsid w:val="002868F0"/>
    <w:rsid w:val="002A529A"/>
    <w:rsid w:val="002D19D1"/>
    <w:rsid w:val="002D7A5A"/>
    <w:rsid w:val="002E4FB8"/>
    <w:rsid w:val="002E5D46"/>
    <w:rsid w:val="002E71CD"/>
    <w:rsid w:val="00300F4F"/>
    <w:rsid w:val="003034B4"/>
    <w:rsid w:val="00316D3C"/>
    <w:rsid w:val="003210C2"/>
    <w:rsid w:val="00336ECB"/>
    <w:rsid w:val="00342777"/>
    <w:rsid w:val="003563B5"/>
    <w:rsid w:val="00361CA3"/>
    <w:rsid w:val="00363C22"/>
    <w:rsid w:val="003645E7"/>
    <w:rsid w:val="00371993"/>
    <w:rsid w:val="003728BD"/>
    <w:rsid w:val="003839A4"/>
    <w:rsid w:val="003D276F"/>
    <w:rsid w:val="003D3209"/>
    <w:rsid w:val="003E4913"/>
    <w:rsid w:val="003F06B6"/>
    <w:rsid w:val="003F0A62"/>
    <w:rsid w:val="004030BD"/>
    <w:rsid w:val="00411635"/>
    <w:rsid w:val="004374CA"/>
    <w:rsid w:val="00445E4C"/>
    <w:rsid w:val="00474E75"/>
    <w:rsid w:val="004B0B3D"/>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84C70"/>
    <w:rsid w:val="0069687D"/>
    <w:rsid w:val="006A04F8"/>
    <w:rsid w:val="006A09CB"/>
    <w:rsid w:val="006C5A3B"/>
    <w:rsid w:val="006F68A8"/>
    <w:rsid w:val="006F6E13"/>
    <w:rsid w:val="00702071"/>
    <w:rsid w:val="00715182"/>
    <w:rsid w:val="00715A88"/>
    <w:rsid w:val="00724004"/>
    <w:rsid w:val="007377EC"/>
    <w:rsid w:val="00752BFB"/>
    <w:rsid w:val="00754A11"/>
    <w:rsid w:val="00760AE5"/>
    <w:rsid w:val="00770785"/>
    <w:rsid w:val="00785255"/>
    <w:rsid w:val="007A02DD"/>
    <w:rsid w:val="007C2200"/>
    <w:rsid w:val="007F5409"/>
    <w:rsid w:val="007F6A59"/>
    <w:rsid w:val="00800F1B"/>
    <w:rsid w:val="00806AF1"/>
    <w:rsid w:val="00815526"/>
    <w:rsid w:val="0082604F"/>
    <w:rsid w:val="00845ADF"/>
    <w:rsid w:val="008469E9"/>
    <w:rsid w:val="008537EE"/>
    <w:rsid w:val="00865BE0"/>
    <w:rsid w:val="008A59E8"/>
    <w:rsid w:val="008C26BD"/>
    <w:rsid w:val="008C2BC7"/>
    <w:rsid w:val="008F1242"/>
    <w:rsid w:val="008F69E3"/>
    <w:rsid w:val="008F6EE0"/>
    <w:rsid w:val="00922702"/>
    <w:rsid w:val="0092344D"/>
    <w:rsid w:val="009269F2"/>
    <w:rsid w:val="00927442"/>
    <w:rsid w:val="009305F7"/>
    <w:rsid w:val="00935A9A"/>
    <w:rsid w:val="00951521"/>
    <w:rsid w:val="009547B8"/>
    <w:rsid w:val="00961FE9"/>
    <w:rsid w:val="00971ECE"/>
    <w:rsid w:val="00976B7E"/>
    <w:rsid w:val="00980257"/>
    <w:rsid w:val="009811B0"/>
    <w:rsid w:val="00987B8D"/>
    <w:rsid w:val="0099441A"/>
    <w:rsid w:val="009A532E"/>
    <w:rsid w:val="009B33CB"/>
    <w:rsid w:val="009D3DDB"/>
    <w:rsid w:val="009E5CC2"/>
    <w:rsid w:val="009F03E7"/>
    <w:rsid w:val="009F0880"/>
    <w:rsid w:val="00A232EB"/>
    <w:rsid w:val="00A42495"/>
    <w:rsid w:val="00A44EB9"/>
    <w:rsid w:val="00A651A2"/>
    <w:rsid w:val="00A66CAA"/>
    <w:rsid w:val="00A73A87"/>
    <w:rsid w:val="00A77214"/>
    <w:rsid w:val="00A912E1"/>
    <w:rsid w:val="00A9165F"/>
    <w:rsid w:val="00AC0296"/>
    <w:rsid w:val="00AC54A8"/>
    <w:rsid w:val="00AC6E4A"/>
    <w:rsid w:val="00AF337F"/>
    <w:rsid w:val="00B02DCE"/>
    <w:rsid w:val="00B119ED"/>
    <w:rsid w:val="00B214A7"/>
    <w:rsid w:val="00B3767A"/>
    <w:rsid w:val="00B4640B"/>
    <w:rsid w:val="00B567CA"/>
    <w:rsid w:val="00B82479"/>
    <w:rsid w:val="00B864EF"/>
    <w:rsid w:val="00B91C25"/>
    <w:rsid w:val="00BA0055"/>
    <w:rsid w:val="00BB2877"/>
    <w:rsid w:val="00BC31D9"/>
    <w:rsid w:val="00BD43E0"/>
    <w:rsid w:val="00BF0894"/>
    <w:rsid w:val="00BF089B"/>
    <w:rsid w:val="00C360EB"/>
    <w:rsid w:val="00C45299"/>
    <w:rsid w:val="00C51C9F"/>
    <w:rsid w:val="00C557BB"/>
    <w:rsid w:val="00C64D59"/>
    <w:rsid w:val="00C77C43"/>
    <w:rsid w:val="00C80208"/>
    <w:rsid w:val="00C805EA"/>
    <w:rsid w:val="00C90860"/>
    <w:rsid w:val="00CA14F2"/>
    <w:rsid w:val="00CA31D4"/>
    <w:rsid w:val="00CA406E"/>
    <w:rsid w:val="00CA6635"/>
    <w:rsid w:val="00CA729F"/>
    <w:rsid w:val="00CC0403"/>
    <w:rsid w:val="00CC3705"/>
    <w:rsid w:val="00CD37D4"/>
    <w:rsid w:val="00CF7C9E"/>
    <w:rsid w:val="00D044C5"/>
    <w:rsid w:val="00D13F1F"/>
    <w:rsid w:val="00D17D19"/>
    <w:rsid w:val="00D24F71"/>
    <w:rsid w:val="00D250A3"/>
    <w:rsid w:val="00D42835"/>
    <w:rsid w:val="00D60147"/>
    <w:rsid w:val="00D95387"/>
    <w:rsid w:val="00DA3F03"/>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D1CFB"/>
    <w:rsid w:val="00ED4717"/>
    <w:rsid w:val="00ED4FB2"/>
    <w:rsid w:val="00F03BC6"/>
    <w:rsid w:val="00F14472"/>
    <w:rsid w:val="00F21E70"/>
    <w:rsid w:val="00F33A9C"/>
    <w:rsid w:val="00F64CC2"/>
    <w:rsid w:val="00F65BF6"/>
    <w:rsid w:val="00F72019"/>
    <w:rsid w:val="00F85C14"/>
    <w:rsid w:val="00FA2D97"/>
    <w:rsid w:val="00FA4F3D"/>
    <w:rsid w:val="00FC1D30"/>
    <w:rsid w:val="00FC552F"/>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es.thibodeaux@gohsep.la.gov" TargetMode="External"/><Relationship Id="rId13" Type="http://schemas.openxmlformats.org/officeDocument/2006/relationships/hyperlink" Target="mailto:riki@alertpro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dd.M.Peterson@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sher.kelsey@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ichard.J.Lavigne@uscg.mil" TargetMode="External"/><Relationship Id="rId4" Type="http://schemas.openxmlformats.org/officeDocument/2006/relationships/settings" Target="settings.xml"/><Relationship Id="rId9" Type="http://schemas.openxmlformats.org/officeDocument/2006/relationships/hyperlink" Target="mailto:Webster.James@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5</cp:revision>
  <dcterms:created xsi:type="dcterms:W3CDTF">2024-11-15T16:50:00Z</dcterms:created>
  <dcterms:modified xsi:type="dcterms:W3CDTF">2024-11-16T03:21:00Z</dcterms:modified>
</cp:coreProperties>
</file>