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E28A" w14:textId="77777777" w:rsidR="002D7A5A" w:rsidRPr="00974048" w:rsidRDefault="002D7A5A" w:rsidP="002D7A5A">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Pr="00974048">
        <w:rPr>
          <w:rFonts w:eastAsia="Cambria"/>
          <w:color w:val="000000" w:themeColor="text1"/>
          <w:highlight w:val="yellow"/>
        </w:rPr>
        <w:t>DATE</w:t>
      </w:r>
      <w:r w:rsidRPr="00974048">
        <w:rPr>
          <w:rFonts w:eastAsia="Cambria"/>
          <w:color w:val="000000" w:themeColor="text1"/>
        </w:rPr>
        <w:t>, 2024</w:t>
      </w:r>
    </w:p>
    <w:p w14:paraId="3D56BD65" w14:textId="77777777" w:rsidR="002D7A5A" w:rsidRPr="00974048" w:rsidRDefault="002D7A5A" w:rsidP="002D7A5A">
      <w:pPr>
        <w:pStyle w:val="bellezanormal0"/>
        <w:tabs>
          <w:tab w:val="right" w:pos="9360"/>
        </w:tabs>
        <w:rPr>
          <w:rFonts w:eastAsia="Cambria"/>
          <w:color w:val="000000" w:themeColor="text1"/>
        </w:rPr>
      </w:pPr>
    </w:p>
    <w:p w14:paraId="3D1703AB" w14:textId="77777777" w:rsidR="00FF0F7D" w:rsidRDefault="00FF0F7D" w:rsidP="00FF0F7D">
      <w:pPr>
        <w:pStyle w:val="bellezanormal0"/>
        <w:rPr>
          <w:rFonts w:eastAsia="Cambria"/>
          <w:color w:val="000000" w:themeColor="text1"/>
        </w:rPr>
      </w:pPr>
      <w:r>
        <w:rPr>
          <w:rFonts w:eastAsia="Cambria"/>
          <w:color w:val="000000" w:themeColor="text1"/>
        </w:rPr>
        <w:t>Alaska</w:t>
      </w:r>
      <w:r w:rsidRPr="00974048">
        <w:rPr>
          <w:rFonts w:eastAsia="Cambria"/>
          <w:color w:val="000000" w:themeColor="text1"/>
        </w:rPr>
        <w:t xml:space="preserve"> Department of </w:t>
      </w:r>
      <w:r>
        <w:rPr>
          <w:rFonts w:eastAsia="Cambria"/>
          <w:color w:val="000000" w:themeColor="text1"/>
        </w:rPr>
        <w:t>Environmental Conservation</w:t>
      </w:r>
    </w:p>
    <w:p w14:paraId="68995A9F" w14:textId="67AAE0DB" w:rsidR="00FF0F7D" w:rsidRPr="00974048" w:rsidRDefault="00FF0F7D" w:rsidP="00FF0F7D">
      <w:pPr>
        <w:pStyle w:val="bellezanormal0"/>
        <w:tabs>
          <w:tab w:val="left" w:pos="360"/>
        </w:tabs>
        <w:rPr>
          <w:rFonts w:eastAsia="Cambria"/>
          <w:color w:val="000000" w:themeColor="text1"/>
        </w:rPr>
      </w:pPr>
      <w:r>
        <w:rPr>
          <w:rFonts w:eastAsia="Cambria"/>
          <w:color w:val="000000" w:themeColor="text1"/>
        </w:rPr>
        <w:tab/>
        <w:t>Division of Spill Prevention and Response</w:t>
      </w:r>
    </w:p>
    <w:p w14:paraId="36F48DBD" w14:textId="7D5D67BB" w:rsidR="00FF0F7D" w:rsidRPr="00974048" w:rsidRDefault="00FF0F7D" w:rsidP="00FF0F7D">
      <w:pPr>
        <w:pStyle w:val="bellezanormal0"/>
        <w:rPr>
          <w:rFonts w:eastAsia="Cambria"/>
          <w:color w:val="000000" w:themeColor="text1"/>
        </w:rPr>
      </w:pPr>
      <w:r w:rsidRPr="00974048">
        <w:rPr>
          <w:rFonts w:eastAsia="Cambria"/>
          <w:color w:val="000000" w:themeColor="text1"/>
        </w:rPr>
        <w:t xml:space="preserve">Attn: </w:t>
      </w:r>
      <w:r>
        <w:rPr>
          <w:rFonts w:eastAsia="Cambria"/>
          <w:color w:val="000000" w:themeColor="text1"/>
        </w:rPr>
        <w:t>Teresa Melville</w:t>
      </w:r>
      <w:r w:rsidRPr="00974048">
        <w:rPr>
          <w:rFonts w:eastAsia="Cambria"/>
          <w:color w:val="000000" w:themeColor="text1"/>
        </w:rPr>
        <w:t xml:space="preserve">, </w:t>
      </w:r>
      <w:r>
        <w:rPr>
          <w:rFonts w:eastAsia="Cambria"/>
          <w:color w:val="000000" w:themeColor="text1"/>
        </w:rPr>
        <w:t xml:space="preserve">Manager and </w:t>
      </w:r>
      <w:r w:rsidR="00C727A9">
        <w:rPr>
          <w:rFonts w:eastAsia="Cambria"/>
          <w:color w:val="000000" w:themeColor="text1"/>
        </w:rPr>
        <w:t xml:space="preserve">Interim </w:t>
      </w:r>
      <w:r>
        <w:rPr>
          <w:rFonts w:eastAsia="Cambria"/>
          <w:color w:val="000000" w:themeColor="text1"/>
        </w:rPr>
        <w:t>Tri-Chair ARRT</w:t>
      </w:r>
    </w:p>
    <w:p w14:paraId="5EEE6499" w14:textId="77777777" w:rsidR="00FF0F7D" w:rsidRPr="00974048" w:rsidRDefault="00FF0F7D" w:rsidP="00FF0F7D">
      <w:pPr>
        <w:pStyle w:val="bellezanormal0"/>
        <w:rPr>
          <w:rFonts w:eastAsia="Cambria"/>
          <w:color w:val="000000" w:themeColor="text1"/>
        </w:rPr>
      </w:pPr>
      <w:r w:rsidRPr="00974048">
        <w:rPr>
          <w:rFonts w:eastAsia="Cambria"/>
          <w:color w:val="000000" w:themeColor="text1"/>
        </w:rPr>
        <w:t xml:space="preserve">EMAIL:  </w:t>
      </w:r>
      <w:hyperlink r:id="rId8" w:history="1">
        <w:r w:rsidRPr="00072D9F">
          <w:rPr>
            <w:rStyle w:val="Hyperlink"/>
            <w:rFonts w:eastAsia="Cambria"/>
            <w:color w:val="000000" w:themeColor="text1"/>
          </w:rPr>
          <w:t>teresa.melville@alaska.gov</w:t>
        </w:r>
      </w:hyperlink>
      <w:r w:rsidRPr="00072D9F">
        <w:rPr>
          <w:rFonts w:eastAsia="Cambria"/>
          <w:color w:val="000000" w:themeColor="text1"/>
        </w:rPr>
        <w:t xml:space="preserve">   </w:t>
      </w:r>
    </w:p>
    <w:p w14:paraId="0330DADF" w14:textId="77777777" w:rsidR="00A232EB" w:rsidRDefault="00A232EB" w:rsidP="00523084">
      <w:pPr>
        <w:pStyle w:val="bellezanormal0"/>
        <w:tabs>
          <w:tab w:val="clear" w:pos="720"/>
          <w:tab w:val="left" w:pos="540"/>
          <w:tab w:val="left" w:pos="5040"/>
        </w:tabs>
        <w:rPr>
          <w:rFonts w:eastAsia="Cambria"/>
          <w:color w:val="000000" w:themeColor="text1"/>
        </w:rPr>
      </w:pPr>
    </w:p>
    <w:p w14:paraId="274CC8D4" w14:textId="57CA33C4" w:rsidR="00523084" w:rsidRDefault="00523084" w:rsidP="00523084">
      <w:pPr>
        <w:pStyle w:val="bellezanormal0"/>
        <w:tabs>
          <w:tab w:val="clear" w:pos="720"/>
          <w:tab w:val="left" w:pos="540"/>
          <w:tab w:val="left" w:pos="5040"/>
        </w:tabs>
        <w:rPr>
          <w:rFonts w:eastAsia="Cambria"/>
          <w:color w:val="000000" w:themeColor="text1"/>
        </w:rPr>
      </w:pPr>
      <w:r>
        <w:rPr>
          <w:rFonts w:eastAsia="Cambria"/>
          <w:color w:val="000000" w:themeColor="text1"/>
        </w:rPr>
        <w:t xml:space="preserve"> </w:t>
      </w:r>
    </w:p>
    <w:p w14:paraId="62475C1A" w14:textId="4E47C1C3" w:rsidR="00595C5D" w:rsidRDefault="002D7A5A" w:rsidP="00595C5D">
      <w:pPr>
        <w:pStyle w:val="bellezanormal0"/>
        <w:spacing w:after="60"/>
        <w:jc w:val="center"/>
        <w:rPr>
          <w:rFonts w:eastAsia="Cambria"/>
          <w:color w:val="000000" w:themeColor="text1"/>
        </w:rPr>
      </w:pPr>
      <w:r w:rsidRPr="00974048">
        <w:rPr>
          <w:rFonts w:eastAsia="Cambria"/>
          <w:color w:val="000000" w:themeColor="text1"/>
        </w:rPr>
        <w:t>Request</w:t>
      </w:r>
      <w:r>
        <w:rPr>
          <w:rFonts w:eastAsia="Cambria"/>
          <w:color w:val="000000" w:themeColor="text1"/>
        </w:rPr>
        <w:t xml:space="preserve"> </w:t>
      </w:r>
      <w:r w:rsidR="00504968">
        <w:rPr>
          <w:rFonts w:eastAsia="Cambria"/>
          <w:color w:val="000000" w:themeColor="text1"/>
        </w:rPr>
        <w:t xml:space="preserve">adoption of </w:t>
      </w:r>
      <w:r>
        <w:rPr>
          <w:rFonts w:eastAsia="Cambria"/>
          <w:color w:val="000000" w:themeColor="text1"/>
        </w:rPr>
        <w:t xml:space="preserve">three measures </w:t>
      </w:r>
      <w:r w:rsidR="00504968">
        <w:rPr>
          <w:rFonts w:eastAsia="Cambria"/>
          <w:color w:val="000000" w:themeColor="text1"/>
        </w:rPr>
        <w:t>during</w:t>
      </w:r>
      <w:r>
        <w:rPr>
          <w:rFonts w:eastAsia="Cambria"/>
          <w:color w:val="000000" w:themeColor="text1"/>
        </w:rPr>
        <w:t xml:space="preserve"> the current revisions to the Area </w:t>
      </w:r>
      <w:r w:rsidR="00566BB0">
        <w:rPr>
          <w:rFonts w:eastAsia="Cambria"/>
          <w:color w:val="000000" w:themeColor="text1"/>
        </w:rPr>
        <w:t xml:space="preserve">Contingency Plans </w:t>
      </w:r>
      <w:r w:rsidR="00504968">
        <w:rPr>
          <w:rFonts w:eastAsia="Cambria"/>
          <w:color w:val="000000" w:themeColor="text1"/>
        </w:rPr>
        <w:t xml:space="preserve">(ACPs) </w:t>
      </w:r>
      <w:r w:rsidR="00C90860">
        <w:rPr>
          <w:rFonts w:eastAsia="Cambria"/>
          <w:color w:val="000000" w:themeColor="text1"/>
        </w:rPr>
        <w:t xml:space="preserve">and Regional Contingency Plans </w:t>
      </w:r>
      <w:r w:rsidR="005C5AE8">
        <w:rPr>
          <w:rFonts w:eastAsia="Cambria"/>
          <w:color w:val="000000" w:themeColor="text1"/>
        </w:rPr>
        <w:t xml:space="preserve">(RCPs) </w:t>
      </w:r>
      <w:r w:rsidR="00595C5D" w:rsidRPr="00327B61">
        <w:rPr>
          <w:rFonts w:eastAsia="Cambria"/>
          <w:color w:val="000000" w:themeColor="text1"/>
          <w:u w:val="single"/>
        </w:rPr>
        <w:t>to update Plans</w:t>
      </w:r>
      <w:r w:rsidR="003839A4">
        <w:rPr>
          <w:rFonts w:eastAsia="Cambria"/>
          <w:color w:val="000000" w:themeColor="text1"/>
        </w:rPr>
        <w:t>, specifically:</w:t>
      </w:r>
    </w:p>
    <w:p w14:paraId="66A53BC4" w14:textId="04F921E1" w:rsidR="00595C5D" w:rsidRDefault="003839A4" w:rsidP="00595C5D">
      <w:pPr>
        <w:pStyle w:val="bellezanormal0"/>
        <w:numPr>
          <w:ilvl w:val="0"/>
          <w:numId w:val="19"/>
        </w:numPr>
        <w:spacing w:after="60"/>
      </w:pPr>
      <w:r>
        <w:t>W</w:t>
      </w:r>
      <w:r w:rsidR="00595C5D">
        <w:t xml:space="preserve">orker health monitoring units to minimize harm to emergency </w:t>
      </w:r>
      <w:proofErr w:type="gramStart"/>
      <w:r w:rsidR="00595C5D">
        <w:t>responders;</w:t>
      </w:r>
      <w:proofErr w:type="gramEnd"/>
    </w:p>
    <w:p w14:paraId="6BF2C4BD" w14:textId="2494055B" w:rsidR="00595C5D" w:rsidRDefault="003839A4" w:rsidP="00595C5D">
      <w:pPr>
        <w:pStyle w:val="bellezanormal0"/>
        <w:numPr>
          <w:ilvl w:val="0"/>
          <w:numId w:val="19"/>
        </w:numPr>
        <w:spacing w:after="60"/>
      </w:pPr>
      <w:r>
        <w:t>P</w:t>
      </w:r>
      <w:r w:rsidR="00595C5D">
        <w:t xml:space="preserve">ublic health assessment units to integrate public health into the National Contingency Plan (NCP); and </w:t>
      </w:r>
    </w:p>
    <w:p w14:paraId="5B726E23" w14:textId="345B2228" w:rsidR="00595C5D" w:rsidRPr="00FE0287" w:rsidRDefault="00595C5D" w:rsidP="00595C5D">
      <w:pPr>
        <w:pStyle w:val="bellezanormal0"/>
        <w:numPr>
          <w:ilvl w:val="0"/>
          <w:numId w:val="19"/>
        </w:numPr>
      </w:pPr>
      <w:r>
        <w:t>Regional Citizens’ Advisory Councils to strengthen local involvement</w:t>
      </w:r>
      <w:r>
        <w:rPr>
          <w:rFonts w:eastAsia="Cambria"/>
          <w:color w:val="000000" w:themeColor="text1"/>
        </w:rPr>
        <w:t>.</w:t>
      </w:r>
    </w:p>
    <w:p w14:paraId="00622F6F" w14:textId="4FF808B5" w:rsidR="002D7A5A" w:rsidRPr="00974048" w:rsidRDefault="002D7A5A" w:rsidP="00595C5D">
      <w:pPr>
        <w:pStyle w:val="bellezanormal0"/>
        <w:jc w:val="center"/>
        <w:rPr>
          <w:rFonts w:eastAsia="Cambria"/>
          <w:color w:val="000000" w:themeColor="text1"/>
        </w:rPr>
      </w:pPr>
    </w:p>
    <w:p w14:paraId="51C2625B" w14:textId="77777777" w:rsidR="002D7A5A" w:rsidRPr="00974048" w:rsidRDefault="002D7A5A" w:rsidP="00595C5D">
      <w:pPr>
        <w:pStyle w:val="bellezanormal0"/>
        <w:rPr>
          <w:color w:val="000000" w:themeColor="text1"/>
        </w:rPr>
      </w:pPr>
    </w:p>
    <w:p w14:paraId="3523AA9F" w14:textId="7A86CE7D" w:rsidR="002D7A5A" w:rsidRPr="00974048" w:rsidRDefault="002D7A5A" w:rsidP="00595C5D">
      <w:pPr>
        <w:pStyle w:val="bellezanormal0"/>
        <w:rPr>
          <w:color w:val="000000" w:themeColor="text1"/>
        </w:rPr>
      </w:pPr>
      <w:r w:rsidRPr="00974048">
        <w:rPr>
          <w:color w:val="000000" w:themeColor="text1"/>
        </w:rPr>
        <w:t xml:space="preserve">Dear </w:t>
      </w:r>
      <w:r w:rsidR="00EB575F" w:rsidRPr="00974048">
        <w:rPr>
          <w:color w:val="000000" w:themeColor="text1"/>
        </w:rPr>
        <w:t>M</w:t>
      </w:r>
      <w:r w:rsidR="00FF0F7D">
        <w:rPr>
          <w:color w:val="000000" w:themeColor="text1"/>
        </w:rPr>
        <w:t>s</w:t>
      </w:r>
      <w:r w:rsidR="00EB575F" w:rsidRPr="00974048">
        <w:rPr>
          <w:color w:val="000000" w:themeColor="text1"/>
        </w:rPr>
        <w:t xml:space="preserve">. </w:t>
      </w:r>
      <w:r w:rsidR="00FF0F7D">
        <w:rPr>
          <w:rFonts w:eastAsia="Cambria"/>
          <w:color w:val="000000" w:themeColor="text1"/>
        </w:rPr>
        <w:t>Teresa</w:t>
      </w:r>
      <w:r w:rsidR="005C5AE8">
        <w:rPr>
          <w:color w:val="000000" w:themeColor="text1"/>
        </w:rPr>
        <w:t>,</w:t>
      </w:r>
    </w:p>
    <w:p w14:paraId="34556556" w14:textId="77777777" w:rsidR="002D7A5A" w:rsidRPr="00974048" w:rsidRDefault="002D7A5A" w:rsidP="00595C5D">
      <w:pPr>
        <w:pStyle w:val="bellezanormal0"/>
        <w:rPr>
          <w:color w:val="000000" w:themeColor="text1"/>
        </w:rPr>
      </w:pPr>
    </w:p>
    <w:p w14:paraId="7C7AB166" w14:textId="7F9E046D" w:rsidR="003839A4" w:rsidRDefault="00E12C3E" w:rsidP="00E12C3E">
      <w:pPr>
        <w:pStyle w:val="bellezanormal0"/>
        <w:rPr>
          <w:color w:val="000000" w:themeColor="text1"/>
        </w:rPr>
      </w:pPr>
      <w:r>
        <w:tab/>
      </w:r>
      <w:r w:rsidRPr="000830DC">
        <w:rPr>
          <w:color w:val="000000" w:themeColor="text1"/>
        </w:rPr>
        <w:t>We are</w:t>
      </w:r>
      <w:r w:rsidRPr="00974048">
        <w:rPr>
          <w:color w:val="000000" w:themeColor="text1"/>
        </w:rPr>
        <w:t xml:space="preserve"> </w:t>
      </w:r>
      <w:r w:rsidR="008F69E3">
        <w:rPr>
          <w:color w:val="000000" w:themeColor="text1"/>
        </w:rPr>
        <w:t>writing</w:t>
      </w:r>
      <w:r w:rsidRPr="00974048">
        <w:rPr>
          <w:color w:val="000000" w:themeColor="text1"/>
        </w:rPr>
        <w:t xml:space="preserve"> </w:t>
      </w:r>
      <w:r w:rsidR="00445E4C">
        <w:rPr>
          <w:color w:val="000000" w:themeColor="text1"/>
        </w:rPr>
        <w:t>you, a</w:t>
      </w:r>
      <w:r w:rsidR="00445E4C" w:rsidRPr="00974048">
        <w:rPr>
          <w:color w:val="000000" w:themeColor="text1"/>
        </w:rPr>
        <w:t xml:space="preserve">s the lead </w:t>
      </w:r>
      <w:r w:rsidR="00445E4C">
        <w:rPr>
          <w:color w:val="000000" w:themeColor="text1"/>
        </w:rPr>
        <w:t>agency</w:t>
      </w:r>
      <w:r w:rsidR="00445E4C" w:rsidRPr="00974048">
        <w:rPr>
          <w:color w:val="000000" w:themeColor="text1"/>
        </w:rPr>
        <w:t xml:space="preserve"> for </w:t>
      </w:r>
      <w:r w:rsidR="00FF0F7D">
        <w:rPr>
          <w:rFonts w:eastAsia="Cambria"/>
          <w:color w:val="000000" w:themeColor="text1"/>
        </w:rPr>
        <w:t>Alaska</w:t>
      </w:r>
      <w:r w:rsidR="002E398F" w:rsidRPr="00433FAC">
        <w:rPr>
          <w:rFonts w:eastAsia="Cambria"/>
          <w:color w:val="000000" w:themeColor="text1"/>
        </w:rPr>
        <w:t xml:space="preserve"> </w:t>
      </w:r>
      <w:r w:rsidR="00445E4C" w:rsidRPr="00974048">
        <w:rPr>
          <w:color w:val="000000" w:themeColor="text1"/>
        </w:rPr>
        <w:t>on oil spill prevention, preparation</w:t>
      </w:r>
      <w:r w:rsidR="00445E4C">
        <w:rPr>
          <w:color w:val="000000" w:themeColor="text1"/>
        </w:rPr>
        <w:t xml:space="preserve"> </w:t>
      </w:r>
      <w:r w:rsidR="00445E4C" w:rsidRPr="00974048">
        <w:rPr>
          <w:color w:val="000000" w:themeColor="text1"/>
        </w:rPr>
        <w:t>and response</w:t>
      </w:r>
      <w:r w:rsidR="00445E4C">
        <w:rPr>
          <w:color w:val="000000" w:themeColor="text1"/>
        </w:rPr>
        <w:t>,</w:t>
      </w:r>
      <w:r w:rsidR="00445E4C" w:rsidRPr="00974048">
        <w:rPr>
          <w:color w:val="000000" w:themeColor="text1"/>
        </w:rPr>
        <w:t xml:space="preserve"> </w:t>
      </w:r>
      <w:r w:rsidRPr="00974048">
        <w:rPr>
          <w:color w:val="000000" w:themeColor="text1"/>
        </w:rPr>
        <w:t xml:space="preserve">regarding </w:t>
      </w:r>
      <w:r w:rsidR="008F69E3">
        <w:rPr>
          <w:color w:val="000000" w:themeColor="text1"/>
        </w:rPr>
        <w:t xml:space="preserve">the current U.S. Coast Guard (USCG)-driven reorganization of the Area </w:t>
      </w:r>
      <w:r w:rsidR="007C2200">
        <w:rPr>
          <w:color w:val="000000" w:themeColor="text1"/>
        </w:rPr>
        <w:t xml:space="preserve">Contingency </w:t>
      </w:r>
      <w:r w:rsidR="008F69E3">
        <w:rPr>
          <w:color w:val="000000" w:themeColor="text1"/>
        </w:rPr>
        <w:t>Plan</w:t>
      </w:r>
      <w:r w:rsidR="007C2200">
        <w:rPr>
          <w:color w:val="000000" w:themeColor="text1"/>
        </w:rPr>
        <w:t>s</w:t>
      </w:r>
      <w:r w:rsidR="008F69E3">
        <w:rPr>
          <w:color w:val="000000" w:themeColor="text1"/>
        </w:rPr>
        <w:t xml:space="preserve"> </w:t>
      </w:r>
      <w:r w:rsidR="00445E4C">
        <w:rPr>
          <w:color w:val="000000" w:themeColor="text1"/>
        </w:rPr>
        <w:t xml:space="preserve">(ACPs) </w:t>
      </w:r>
      <w:r w:rsidR="008F69E3">
        <w:rPr>
          <w:color w:val="000000" w:themeColor="text1"/>
        </w:rPr>
        <w:t xml:space="preserve">into </w:t>
      </w:r>
      <w:r w:rsidR="00594C19">
        <w:rPr>
          <w:color w:val="000000" w:themeColor="text1"/>
        </w:rPr>
        <w:t xml:space="preserve">USCG </w:t>
      </w:r>
      <w:r w:rsidR="008F69E3">
        <w:rPr>
          <w:color w:val="000000" w:themeColor="text1"/>
        </w:rPr>
        <w:t>sector ACPs</w:t>
      </w:r>
      <w:r w:rsidR="007C2200">
        <w:rPr>
          <w:color w:val="000000" w:themeColor="text1"/>
        </w:rPr>
        <w:t xml:space="preserve"> and </w:t>
      </w:r>
      <w:r w:rsidR="00445E4C">
        <w:rPr>
          <w:color w:val="000000" w:themeColor="text1"/>
        </w:rPr>
        <w:t xml:space="preserve">the </w:t>
      </w:r>
      <w:r w:rsidR="00411635">
        <w:rPr>
          <w:color w:val="000000" w:themeColor="text1"/>
        </w:rPr>
        <w:t>new</w:t>
      </w:r>
      <w:r w:rsidR="007C2200">
        <w:rPr>
          <w:color w:val="000000" w:themeColor="text1"/>
        </w:rPr>
        <w:t xml:space="preserve"> Regional Contingency Plans (RCPs) that will result from this reorganization</w:t>
      </w:r>
      <w:r w:rsidR="008F69E3">
        <w:rPr>
          <w:color w:val="000000" w:themeColor="text1"/>
        </w:rPr>
        <w:t xml:space="preserve">. </w:t>
      </w:r>
      <w:r w:rsidR="00445E4C">
        <w:rPr>
          <w:color w:val="000000" w:themeColor="text1"/>
        </w:rPr>
        <w:t>Y</w:t>
      </w:r>
      <w:r w:rsidR="00445E4C" w:rsidRPr="00974048">
        <w:rPr>
          <w:color w:val="000000" w:themeColor="text1"/>
        </w:rPr>
        <w:t>ou and your team</w:t>
      </w:r>
      <w:r w:rsidR="00445E4C">
        <w:rPr>
          <w:color w:val="000000" w:themeColor="text1"/>
        </w:rPr>
        <w:t>s</w:t>
      </w:r>
      <w:r w:rsidR="00445E4C" w:rsidRPr="00974048">
        <w:rPr>
          <w:color w:val="000000" w:themeColor="text1"/>
        </w:rPr>
        <w:t xml:space="preserve"> are responsible for develop</w:t>
      </w:r>
      <w:r w:rsidR="00445E4C">
        <w:rPr>
          <w:color w:val="000000" w:themeColor="text1"/>
        </w:rPr>
        <w:t>ing</w:t>
      </w:r>
      <w:r w:rsidR="00445E4C" w:rsidRPr="00974048">
        <w:rPr>
          <w:color w:val="000000" w:themeColor="text1"/>
        </w:rPr>
        <w:t>, implementi</w:t>
      </w:r>
      <w:r w:rsidR="00445E4C">
        <w:rPr>
          <w:color w:val="000000" w:themeColor="text1"/>
        </w:rPr>
        <w:t>ng</w:t>
      </w:r>
      <w:r w:rsidR="00445E4C" w:rsidRPr="00974048">
        <w:rPr>
          <w:color w:val="000000" w:themeColor="text1"/>
        </w:rPr>
        <w:t>, and updatin</w:t>
      </w:r>
      <w:r w:rsidR="00445E4C">
        <w:rPr>
          <w:color w:val="000000" w:themeColor="text1"/>
        </w:rPr>
        <w:t>g</w:t>
      </w:r>
      <w:r w:rsidR="00445E4C" w:rsidRPr="00974048">
        <w:rPr>
          <w:color w:val="000000" w:themeColor="text1"/>
        </w:rPr>
        <w:t xml:space="preserve"> </w:t>
      </w:r>
      <w:r w:rsidR="00445E4C">
        <w:rPr>
          <w:color w:val="000000" w:themeColor="text1"/>
        </w:rPr>
        <w:t>ACPs</w:t>
      </w:r>
      <w:r w:rsidR="00445E4C" w:rsidRPr="00974048">
        <w:rPr>
          <w:color w:val="000000" w:themeColor="text1"/>
        </w:rPr>
        <w:t xml:space="preserve"> in collaboration with federal partners</w:t>
      </w:r>
      <w:r w:rsidR="00445E4C">
        <w:rPr>
          <w:color w:val="000000" w:themeColor="text1"/>
        </w:rPr>
        <w:t xml:space="preserve"> in EPA </w:t>
      </w:r>
      <w:r w:rsidR="00445E4C" w:rsidRPr="00D95387">
        <w:rPr>
          <w:color w:val="000000" w:themeColor="text1"/>
        </w:rPr>
        <w:t xml:space="preserve">Region </w:t>
      </w:r>
      <w:r w:rsidR="002E398F">
        <w:rPr>
          <w:color w:val="000000" w:themeColor="text1"/>
        </w:rPr>
        <w:t>X</w:t>
      </w:r>
      <w:r w:rsidR="00FF0F7D">
        <w:rPr>
          <w:color w:val="000000" w:themeColor="text1"/>
        </w:rPr>
        <w:t xml:space="preserve"> ARRT</w:t>
      </w:r>
      <w:r w:rsidR="00445E4C">
        <w:rPr>
          <w:color w:val="000000" w:themeColor="text1"/>
        </w:rPr>
        <w:t xml:space="preserve">, which includes the State of </w:t>
      </w:r>
      <w:r w:rsidR="00FF0F7D">
        <w:rPr>
          <w:rFonts w:eastAsia="Cambria"/>
          <w:color w:val="000000" w:themeColor="text1"/>
        </w:rPr>
        <w:t>Alaska</w:t>
      </w:r>
      <w:r w:rsidR="00445E4C">
        <w:rPr>
          <w:color w:val="000000" w:themeColor="text1"/>
        </w:rPr>
        <w:t>.</w:t>
      </w:r>
    </w:p>
    <w:p w14:paraId="06D657EC" w14:textId="77777777" w:rsidR="003839A4" w:rsidRDefault="003839A4" w:rsidP="00E12C3E">
      <w:pPr>
        <w:pStyle w:val="bellezanormal0"/>
        <w:rPr>
          <w:color w:val="000000" w:themeColor="text1"/>
        </w:rPr>
      </w:pPr>
    </w:p>
    <w:p w14:paraId="4CFFAC6B" w14:textId="6B73F120" w:rsidR="007C2200" w:rsidRDefault="003839A4" w:rsidP="00E12C3E">
      <w:pPr>
        <w:pStyle w:val="bellezanormal0"/>
        <w:rPr>
          <w:color w:val="000000" w:themeColor="text1"/>
        </w:rPr>
      </w:pPr>
      <w:r>
        <w:rPr>
          <w:color w:val="000000" w:themeColor="text1"/>
        </w:rPr>
        <w:tab/>
      </w:r>
      <w:r w:rsidR="00E12C3E" w:rsidRPr="00974048">
        <w:rPr>
          <w:color w:val="000000" w:themeColor="text1"/>
        </w:rPr>
        <w:t xml:space="preserve">Our </w:t>
      </w:r>
      <w:r w:rsidR="00FF0F7D">
        <w:rPr>
          <w:rFonts w:eastAsia="Cambria"/>
          <w:color w:val="000000" w:themeColor="text1"/>
        </w:rPr>
        <w:t>Alaska</w:t>
      </w:r>
      <w:r w:rsidR="00FF0F7D" w:rsidRPr="00433FAC">
        <w:rPr>
          <w:rFonts w:eastAsia="Cambria"/>
          <w:color w:val="000000" w:themeColor="text1"/>
        </w:rPr>
        <w:t xml:space="preserve"> </w:t>
      </w:r>
      <w:r w:rsidR="005C5AE8">
        <w:rPr>
          <w:color w:val="000000" w:themeColor="text1"/>
        </w:rPr>
        <w:t>-</w:t>
      </w:r>
      <w:r w:rsidR="00E12C3E" w:rsidRPr="00974048">
        <w:rPr>
          <w:color w:val="000000" w:themeColor="text1"/>
        </w:rPr>
        <w:t xml:space="preserve">based organizations </w:t>
      </w:r>
      <w:r w:rsidR="00770785">
        <w:rPr>
          <w:color w:val="000000" w:themeColor="text1"/>
        </w:rPr>
        <w:t xml:space="preserve">and/or members </w:t>
      </w:r>
      <w:r w:rsidR="00E12C3E" w:rsidRPr="00974048">
        <w:rPr>
          <w:color w:val="000000" w:themeColor="text1"/>
        </w:rPr>
        <w:t xml:space="preserve">represent residents who depend on a healthy ocean for environmental, </w:t>
      </w:r>
      <w:r w:rsidR="00594C19" w:rsidRPr="00974048">
        <w:rPr>
          <w:color w:val="000000" w:themeColor="text1"/>
        </w:rPr>
        <w:t xml:space="preserve">economic, </w:t>
      </w:r>
      <w:r w:rsidR="00E12C3E" w:rsidRPr="00974048">
        <w:rPr>
          <w:color w:val="000000" w:themeColor="text1"/>
        </w:rPr>
        <w:t xml:space="preserve">and personal reasons. </w:t>
      </w:r>
      <w:r w:rsidR="00ED4FB2">
        <w:rPr>
          <w:color w:val="000000" w:themeColor="text1"/>
        </w:rPr>
        <w:t>During a large oil spill, some of our members would serve—or have served—as citizen responders or volunteers to assist with spill response. We live with the toxic consequences of products used during oil spill response. We ask for accountability.</w:t>
      </w:r>
    </w:p>
    <w:p w14:paraId="4B64A156" w14:textId="77777777" w:rsidR="007C2200" w:rsidRDefault="007C2200" w:rsidP="00E12C3E">
      <w:pPr>
        <w:pStyle w:val="bellezanormal0"/>
        <w:rPr>
          <w:color w:val="000000" w:themeColor="text1"/>
        </w:rPr>
      </w:pPr>
    </w:p>
    <w:p w14:paraId="50E94960" w14:textId="380AABB6" w:rsidR="00445E4C" w:rsidRDefault="007C2200" w:rsidP="00E12C3E">
      <w:pPr>
        <w:pStyle w:val="bellezanormal0"/>
        <w:rPr>
          <w:color w:val="000000" w:themeColor="text1"/>
        </w:rPr>
      </w:pPr>
      <w:r>
        <w:rPr>
          <w:color w:val="000000" w:themeColor="text1"/>
        </w:rPr>
        <w:tab/>
      </w:r>
      <w:r w:rsidR="00E860BC">
        <w:rPr>
          <w:color w:val="000000" w:themeColor="text1"/>
        </w:rPr>
        <w:t xml:space="preserve">Under federal direction, the ongoing reorganization of ACPs is being treated as </w:t>
      </w:r>
      <w:r w:rsidR="00E860BC">
        <w:t xml:space="preserve">a simple rearrangement of existing plans into separate </w:t>
      </w:r>
      <w:r>
        <w:t>ACPs</w:t>
      </w:r>
      <w:r w:rsidR="00E860BC">
        <w:t xml:space="preserve"> for each sector</w:t>
      </w:r>
      <w:r>
        <w:t xml:space="preserve"> and </w:t>
      </w:r>
      <w:r w:rsidR="00411635">
        <w:t>new</w:t>
      </w:r>
      <w:r>
        <w:t xml:space="preserve"> </w:t>
      </w:r>
      <w:r w:rsidR="00DE1182">
        <w:t>RCPs</w:t>
      </w:r>
      <w:r>
        <w:t xml:space="preserve"> for each region</w:t>
      </w:r>
      <w:r w:rsidR="009A532E">
        <w:t xml:space="preserve">. </w:t>
      </w:r>
      <w:r w:rsidR="00594C19">
        <w:rPr>
          <w:color w:val="000000" w:themeColor="text1"/>
        </w:rPr>
        <w:t>This treatment</w:t>
      </w:r>
      <w:r w:rsidR="009A532E">
        <w:rPr>
          <w:color w:val="000000" w:themeColor="text1"/>
        </w:rPr>
        <w:t xml:space="preserve"> replicate</w:t>
      </w:r>
      <w:r w:rsidR="00594C19">
        <w:rPr>
          <w:color w:val="000000" w:themeColor="text1"/>
        </w:rPr>
        <w:t>s</w:t>
      </w:r>
      <w:r w:rsidR="009A532E">
        <w:rPr>
          <w:color w:val="000000" w:themeColor="text1"/>
        </w:rPr>
        <w:t xml:space="preserve"> past practices and omissions into multiple new plans, </w:t>
      </w:r>
      <w:r w:rsidR="0053792F">
        <w:rPr>
          <w:color w:val="000000" w:themeColor="text1"/>
        </w:rPr>
        <w:t>and it</w:t>
      </w:r>
      <w:r w:rsidR="00504968">
        <w:rPr>
          <w:color w:val="000000" w:themeColor="text1"/>
        </w:rPr>
        <w:t xml:space="preserve"> ignor</w:t>
      </w:r>
      <w:r w:rsidR="0053792F">
        <w:rPr>
          <w:color w:val="000000" w:themeColor="text1"/>
        </w:rPr>
        <w:t>es</w:t>
      </w:r>
      <w:r w:rsidR="009A532E">
        <w:rPr>
          <w:color w:val="000000" w:themeColor="text1"/>
        </w:rPr>
        <w:t xml:space="preserve"> new </w:t>
      </w:r>
      <w:r w:rsidR="00594C19">
        <w:rPr>
          <w:color w:val="000000" w:themeColor="text1"/>
        </w:rPr>
        <w:t xml:space="preserve">scientific </w:t>
      </w:r>
      <w:r w:rsidR="009A532E">
        <w:rPr>
          <w:color w:val="000000" w:themeColor="text1"/>
        </w:rPr>
        <w:t xml:space="preserve">information and </w:t>
      </w:r>
      <w:r w:rsidR="00594C19">
        <w:rPr>
          <w:color w:val="000000" w:themeColor="text1"/>
        </w:rPr>
        <w:t>revised regulations</w:t>
      </w:r>
      <w:r w:rsidR="009A532E">
        <w:rPr>
          <w:color w:val="000000" w:themeColor="text1"/>
        </w:rPr>
        <w:t xml:space="preserve"> that </w:t>
      </w:r>
      <w:r w:rsidR="00504968">
        <w:rPr>
          <w:color w:val="000000" w:themeColor="text1"/>
        </w:rPr>
        <w:t xml:space="preserve">should </w:t>
      </w:r>
      <w:r w:rsidR="009A532E">
        <w:rPr>
          <w:color w:val="000000" w:themeColor="text1"/>
        </w:rPr>
        <w:t xml:space="preserve">be used to update plans during the reorganization process. </w:t>
      </w:r>
      <w:r w:rsidR="00504968" w:rsidRPr="00504968">
        <w:rPr>
          <w:color w:val="000000" w:themeColor="text1"/>
          <w:u w:val="single"/>
        </w:rPr>
        <w:t>A</w:t>
      </w:r>
      <w:r w:rsidR="00594C19" w:rsidRPr="00504968">
        <w:rPr>
          <w:color w:val="000000" w:themeColor="text1"/>
          <w:u w:val="single"/>
        </w:rPr>
        <w:t xml:space="preserve">ll the pieces are in place to update </w:t>
      </w:r>
      <w:r>
        <w:rPr>
          <w:color w:val="000000" w:themeColor="text1"/>
          <w:u w:val="single"/>
        </w:rPr>
        <w:t xml:space="preserve">area and regional contingency </w:t>
      </w:r>
      <w:r w:rsidR="00594C19" w:rsidRPr="00504968">
        <w:rPr>
          <w:color w:val="000000" w:themeColor="text1"/>
          <w:u w:val="single"/>
        </w:rPr>
        <w:t xml:space="preserve">plans </w:t>
      </w:r>
      <w:r w:rsidR="00DE47C7">
        <w:rPr>
          <w:color w:val="000000" w:themeColor="text1"/>
          <w:u w:val="single"/>
        </w:rPr>
        <w:t xml:space="preserve">(“Plans”) </w:t>
      </w:r>
      <w:r w:rsidR="00594C19" w:rsidRPr="00504968">
        <w:rPr>
          <w:color w:val="000000" w:themeColor="text1"/>
          <w:u w:val="single"/>
        </w:rPr>
        <w:t>to better protect first responder health, public health and welfare, and the environment</w:t>
      </w:r>
      <w:r w:rsidR="00594C19">
        <w:rPr>
          <w:color w:val="000000" w:themeColor="text1"/>
        </w:rPr>
        <w:t xml:space="preserve">. </w:t>
      </w:r>
    </w:p>
    <w:p w14:paraId="36FEC6EC" w14:textId="77777777" w:rsidR="00445E4C" w:rsidRDefault="00445E4C" w:rsidP="00E12C3E">
      <w:pPr>
        <w:pStyle w:val="bellezanormal0"/>
        <w:rPr>
          <w:color w:val="000000" w:themeColor="text1"/>
        </w:rPr>
      </w:pPr>
    </w:p>
    <w:p w14:paraId="52FECE60" w14:textId="42300792" w:rsidR="00E860BC" w:rsidRDefault="00445E4C" w:rsidP="00E12C3E">
      <w:pPr>
        <w:pStyle w:val="bellezanormal0"/>
        <w:rPr>
          <w:color w:val="000000" w:themeColor="text1"/>
        </w:rPr>
      </w:pPr>
      <w:r>
        <w:rPr>
          <w:color w:val="000000" w:themeColor="text1"/>
        </w:rPr>
        <w:tab/>
      </w:r>
      <w:r w:rsidR="00594C19" w:rsidRPr="000830DC">
        <w:rPr>
          <w:color w:val="000000" w:themeColor="text1"/>
        </w:rPr>
        <w:t xml:space="preserve">We </w:t>
      </w:r>
      <w:r w:rsidR="00AC6E4A">
        <w:rPr>
          <w:color w:val="000000" w:themeColor="text1"/>
        </w:rPr>
        <w:t>ask</w:t>
      </w:r>
      <w:r w:rsidR="002E4FB8">
        <w:rPr>
          <w:color w:val="000000" w:themeColor="text1"/>
        </w:rPr>
        <w:t xml:space="preserve"> you</w:t>
      </w:r>
      <w:r>
        <w:rPr>
          <w:color w:val="000000" w:themeColor="text1"/>
        </w:rPr>
        <w:t xml:space="preserve">—and </w:t>
      </w:r>
      <w:r w:rsidR="00DE47C7">
        <w:rPr>
          <w:color w:val="000000" w:themeColor="text1"/>
        </w:rPr>
        <w:t xml:space="preserve">lead agencies in </w:t>
      </w:r>
      <w:r>
        <w:rPr>
          <w:color w:val="000000" w:themeColor="text1"/>
        </w:rPr>
        <w:t xml:space="preserve">other coastal states in </w:t>
      </w:r>
      <w:r w:rsidR="00D95387">
        <w:rPr>
          <w:color w:val="000000" w:themeColor="text1"/>
        </w:rPr>
        <w:t xml:space="preserve">Region </w:t>
      </w:r>
      <w:r w:rsidR="002E398F">
        <w:rPr>
          <w:color w:val="000000" w:themeColor="text1"/>
        </w:rPr>
        <w:t>X</w:t>
      </w:r>
      <w:r>
        <w:rPr>
          <w:color w:val="000000" w:themeColor="text1"/>
        </w:rPr>
        <w:t xml:space="preserve"> </w:t>
      </w:r>
      <w:r w:rsidR="00FF0F7D">
        <w:rPr>
          <w:color w:val="000000" w:themeColor="text1"/>
        </w:rPr>
        <w:t xml:space="preserve">ARRT </w:t>
      </w:r>
      <w:r>
        <w:rPr>
          <w:color w:val="000000" w:themeColor="text1"/>
        </w:rPr>
        <w:t xml:space="preserve">and nationwide—to </w:t>
      </w:r>
      <w:r w:rsidR="003D3209">
        <w:rPr>
          <w:color w:val="000000" w:themeColor="text1"/>
        </w:rPr>
        <w:t xml:space="preserve">carefully review the entirety of Chapter 4: Area Contingency Planning Policy of the USCG Commandant Change Notice 16000 to understand the full implications </w:t>
      </w:r>
      <w:r w:rsidR="00D95387" w:rsidRPr="00D95387">
        <w:rPr>
          <w:i/>
          <w:iCs/>
          <w:color w:val="000000" w:themeColor="text1"/>
        </w:rPr>
        <w:t>to states</w:t>
      </w:r>
      <w:r w:rsidR="00D95387">
        <w:rPr>
          <w:color w:val="000000" w:themeColor="text1"/>
        </w:rPr>
        <w:t xml:space="preserve"> </w:t>
      </w:r>
      <w:r w:rsidR="003D3209">
        <w:rPr>
          <w:color w:val="000000" w:themeColor="text1"/>
        </w:rPr>
        <w:t>of this USCG-driven reorganization.</w:t>
      </w:r>
      <w:r w:rsidR="00AC6E4A" w:rsidRPr="00845ADF">
        <w:rPr>
          <w:rStyle w:val="FootnoteReference"/>
          <w:color w:val="000000" w:themeColor="text1"/>
          <w:sz w:val="24"/>
        </w:rPr>
        <w:footnoteReference w:id="1"/>
      </w:r>
      <w:r w:rsidR="003D3209">
        <w:rPr>
          <w:color w:val="000000" w:themeColor="text1"/>
        </w:rPr>
        <w:t xml:space="preserve"> Further, </w:t>
      </w:r>
      <w:r w:rsidR="003D3209" w:rsidRPr="000830DC">
        <w:rPr>
          <w:color w:val="000000" w:themeColor="text1"/>
        </w:rPr>
        <w:t>we</w:t>
      </w:r>
      <w:r w:rsidR="003D3209">
        <w:rPr>
          <w:color w:val="000000" w:themeColor="text1"/>
        </w:rPr>
        <w:t xml:space="preserve"> </w:t>
      </w:r>
      <w:r w:rsidR="00AC6E4A">
        <w:rPr>
          <w:color w:val="000000" w:themeColor="text1"/>
        </w:rPr>
        <w:t xml:space="preserve">ask you to coordinate with the federal agencies to update the Plans to include the following </w:t>
      </w:r>
      <w:r w:rsidR="00DE47C7">
        <w:rPr>
          <w:color w:val="000000" w:themeColor="text1"/>
        </w:rPr>
        <w:t xml:space="preserve">three </w:t>
      </w:r>
      <w:r w:rsidR="00AC6E4A">
        <w:rPr>
          <w:color w:val="000000" w:themeColor="text1"/>
        </w:rPr>
        <w:t>state-driven</w:t>
      </w:r>
      <w:r w:rsidR="00DE47C7">
        <w:rPr>
          <w:color w:val="000000" w:themeColor="text1"/>
        </w:rPr>
        <w:t xml:space="preserve"> measures</w:t>
      </w:r>
      <w:r w:rsidR="007C2200">
        <w:rPr>
          <w:color w:val="000000" w:themeColor="text1"/>
        </w:rPr>
        <w:t>,</w:t>
      </w:r>
      <w:r w:rsidR="002E4FB8">
        <w:rPr>
          <w:color w:val="000000" w:themeColor="text1"/>
        </w:rPr>
        <w:t xml:space="preserve"> as part of th</w:t>
      </w:r>
      <w:r w:rsidR="007C2200">
        <w:rPr>
          <w:color w:val="000000" w:themeColor="text1"/>
        </w:rPr>
        <w:t xml:space="preserve">e ongoing </w:t>
      </w:r>
      <w:r w:rsidR="002E4FB8">
        <w:rPr>
          <w:color w:val="000000" w:themeColor="text1"/>
        </w:rPr>
        <w:t>reorganization process</w:t>
      </w:r>
      <w:r w:rsidR="007C2200">
        <w:rPr>
          <w:color w:val="000000" w:themeColor="text1"/>
        </w:rPr>
        <w:t xml:space="preserve"> to be completed by October 2026</w:t>
      </w:r>
      <w:r w:rsidR="002E4FB8">
        <w:rPr>
          <w:color w:val="000000" w:themeColor="text1"/>
        </w:rPr>
        <w:t>.</w:t>
      </w:r>
      <w:r w:rsidR="003645E7">
        <w:rPr>
          <w:color w:val="000000" w:themeColor="text1"/>
        </w:rPr>
        <w:t xml:space="preserve"> </w:t>
      </w:r>
    </w:p>
    <w:p w14:paraId="7D08DAE3" w14:textId="77777777" w:rsidR="00E860BC" w:rsidRDefault="00E860BC" w:rsidP="00E12C3E">
      <w:pPr>
        <w:pStyle w:val="bellezanormal0"/>
        <w:rPr>
          <w:color w:val="000000" w:themeColor="text1"/>
        </w:rPr>
      </w:pPr>
    </w:p>
    <w:p w14:paraId="17A7BF0B" w14:textId="4B781D6D" w:rsidR="00B119ED" w:rsidRPr="00B119ED" w:rsidRDefault="00652B17" w:rsidP="00E12C3E">
      <w:pPr>
        <w:pStyle w:val="bellezanormal0"/>
        <w:rPr>
          <w:i/>
          <w:iCs/>
          <w:color w:val="000000" w:themeColor="text1"/>
        </w:rPr>
      </w:pPr>
      <w:r>
        <w:rPr>
          <w:i/>
          <w:iCs/>
          <w:color w:val="000000" w:themeColor="text1"/>
        </w:rPr>
        <w:t>Symptom-Based</w:t>
      </w:r>
      <w:r w:rsidR="00B119ED" w:rsidRPr="00B119ED">
        <w:rPr>
          <w:i/>
          <w:iCs/>
          <w:color w:val="000000" w:themeColor="text1"/>
        </w:rPr>
        <w:t xml:space="preserve"> </w:t>
      </w:r>
      <w:r>
        <w:rPr>
          <w:i/>
          <w:iCs/>
          <w:color w:val="000000" w:themeColor="text1"/>
        </w:rPr>
        <w:t xml:space="preserve">Exposure Assessment and Health </w:t>
      </w:r>
      <w:r w:rsidR="00B119ED" w:rsidRPr="00B119ED">
        <w:rPr>
          <w:i/>
          <w:iCs/>
          <w:color w:val="000000" w:themeColor="text1"/>
        </w:rPr>
        <w:t>Monitoring Units</w:t>
      </w:r>
    </w:p>
    <w:p w14:paraId="28B40EE5" w14:textId="77777777" w:rsidR="00B119ED" w:rsidRDefault="00B119ED" w:rsidP="00AF337F">
      <w:pPr>
        <w:spacing w:line="276" w:lineRule="auto"/>
        <w:ind w:firstLine="720"/>
        <w:contextualSpacing/>
      </w:pPr>
    </w:p>
    <w:p w14:paraId="76CA994F" w14:textId="77777777" w:rsidR="00845ADF" w:rsidRDefault="00845ADF" w:rsidP="00845ADF">
      <w:pPr>
        <w:tabs>
          <w:tab w:val="left" w:pos="720"/>
          <w:tab w:val="left" w:pos="4320"/>
        </w:tabs>
        <w:spacing w:line="276" w:lineRule="auto"/>
        <w:contextualSpacing/>
      </w:pPr>
      <w:r>
        <w:tab/>
        <w:t xml:space="preserve">After the BP Deepwater Horizon disaster, it was widely recognized that people from professional responders to the exposed public were getting sick at levels of exposure to toxic chemicals that were previously thought to be “safe” (i.e., of a low health hazard risk). Consequently, federal agencies took steps to minimize harm to professional emergency responders in future all-hazard disasters. </w:t>
      </w:r>
    </w:p>
    <w:p w14:paraId="55686681" w14:textId="77777777" w:rsidR="00845ADF" w:rsidRDefault="00845ADF" w:rsidP="00845ADF">
      <w:pPr>
        <w:pStyle w:val="bellezanormal0"/>
      </w:pPr>
    </w:p>
    <w:p w14:paraId="213157FA" w14:textId="792CE134" w:rsidR="00845ADF" w:rsidRDefault="00845ADF" w:rsidP="00845ADF">
      <w:pPr>
        <w:spacing w:line="276" w:lineRule="auto"/>
        <w:ind w:firstLine="720"/>
        <w:contextualSpacing/>
      </w:pPr>
      <w:r>
        <w:t>However, t</w:t>
      </w:r>
      <w:r w:rsidRPr="00B2270A">
        <w:t xml:space="preserve">o address worker and public health during a Spill of National Significance, </w:t>
      </w:r>
      <w:r w:rsidR="006F68A8">
        <w:t>as recommended by the National Commission on the Deepwater Horizon,</w:t>
      </w:r>
      <w:r w:rsidR="006F68A8" w:rsidRPr="006F68A8">
        <w:rPr>
          <w:rStyle w:val="FootnoteReference"/>
          <w:sz w:val="24"/>
        </w:rPr>
        <w:footnoteReference w:id="2"/>
      </w:r>
      <w:r w:rsidR="006F68A8">
        <w:t xml:space="preserve"> </w:t>
      </w:r>
      <w:r w:rsidRPr="00B2270A">
        <w:t>ACPs and RCPs must also address human health impacts at the state/local and regional levels since spill preparation and response cascades outward from ACPs.</w:t>
      </w:r>
      <w:r>
        <w:t xml:space="preserve"> The U.S. Occupational Safety and Health Administration (OSHA) and states with OSHA-approved plans have jurisdiction for worker health, while states have jurisdiction for the public health of their residents. </w:t>
      </w:r>
      <w:r w:rsidRPr="00845ADF">
        <w:rPr>
          <w:u w:val="single"/>
        </w:rPr>
        <w:t>Therefore, it falls to the state lead agencies</w:t>
      </w:r>
      <w:r>
        <w:t>, OSHA, and agencies within the Department of Health and Human Services (DHHS) to make sure human health protections are integrated into the current reorganization process</w:t>
      </w:r>
      <w:r w:rsidR="005027F9">
        <w:t xml:space="preserve"> as actionable health monitoring units</w:t>
      </w:r>
      <w:r>
        <w:t xml:space="preserve">. </w:t>
      </w:r>
    </w:p>
    <w:p w14:paraId="7D08E7FC" w14:textId="77777777" w:rsidR="00845ADF" w:rsidRDefault="00845ADF" w:rsidP="00845ADF">
      <w:pPr>
        <w:tabs>
          <w:tab w:val="left" w:pos="720"/>
          <w:tab w:val="left" w:pos="4320"/>
        </w:tabs>
        <w:spacing w:line="276" w:lineRule="auto"/>
        <w:contextualSpacing/>
      </w:pPr>
    </w:p>
    <w:p w14:paraId="521D55C6" w14:textId="395A5756" w:rsidR="00AF337F" w:rsidRDefault="00B91C25" w:rsidP="00AF337F">
      <w:pPr>
        <w:spacing w:line="276" w:lineRule="auto"/>
        <w:ind w:firstLine="720"/>
        <w:contextualSpacing/>
      </w:pPr>
      <w:r>
        <w:t xml:space="preserve">These </w:t>
      </w:r>
      <w:r w:rsidR="001309ED">
        <w:t xml:space="preserve">health </w:t>
      </w:r>
      <w:r w:rsidR="00CA406E">
        <w:t xml:space="preserve">monitoring </w:t>
      </w:r>
      <w:r>
        <w:t>units would buil</w:t>
      </w:r>
      <w:r w:rsidR="0053792F">
        <w:t>d</w:t>
      </w:r>
      <w:r>
        <w:t xml:space="preserve"> on </w:t>
      </w:r>
      <w:r w:rsidR="00DE1182">
        <w:t>existing health protection regulations and programs</w:t>
      </w:r>
      <w:r w:rsidR="00AF337F">
        <w:t xml:space="preserve"> </w:t>
      </w:r>
      <w:r w:rsidR="00DE1182">
        <w:t>already recommended or established by</w:t>
      </w:r>
      <w:r w:rsidR="00AF337F">
        <w:t xml:space="preserve"> federal </w:t>
      </w:r>
      <w:r w:rsidR="0064788F">
        <w:t>or</w:t>
      </w:r>
      <w:r w:rsidR="00AF337F">
        <w:t xml:space="preserve"> state agencies</w:t>
      </w:r>
      <w:r w:rsidR="0064788F">
        <w:t xml:space="preserve"> or academic institutions</w:t>
      </w:r>
      <w:r w:rsidR="00C80208">
        <w:t xml:space="preserve">. </w:t>
      </w:r>
      <w:r w:rsidR="001309ED">
        <w:t>For example:</w:t>
      </w:r>
    </w:p>
    <w:p w14:paraId="558800B6" w14:textId="77777777" w:rsidR="00AF337F" w:rsidRDefault="00AF337F" w:rsidP="00AF337F">
      <w:pPr>
        <w:spacing w:line="276" w:lineRule="auto"/>
        <w:ind w:firstLine="720"/>
        <w:contextualSpacing/>
      </w:pPr>
    </w:p>
    <w:p w14:paraId="65813FCD" w14:textId="2B41D5D2" w:rsidR="00CC3705" w:rsidRDefault="006C5A3B" w:rsidP="00CC3705">
      <w:pPr>
        <w:pStyle w:val="ListParagraph"/>
        <w:numPr>
          <w:ilvl w:val="0"/>
          <w:numId w:val="18"/>
        </w:numPr>
        <w:spacing w:line="276" w:lineRule="auto"/>
        <w:ind w:left="720"/>
      </w:pPr>
      <w:r>
        <w:rPr>
          <w:u w:val="single"/>
        </w:rPr>
        <w:t>C</w:t>
      </w:r>
      <w:r w:rsidR="004E4EF4" w:rsidRPr="004E4EF4">
        <w:rPr>
          <w:u w:val="single"/>
        </w:rPr>
        <w:t xml:space="preserve">oncentration-based </w:t>
      </w:r>
      <w:r w:rsidR="00752BFB">
        <w:rPr>
          <w:u w:val="single"/>
        </w:rPr>
        <w:t>exposure assessment</w:t>
      </w:r>
      <w:r w:rsidR="00752BFB" w:rsidRPr="00D77A8C">
        <w:rPr>
          <w:u w:val="single"/>
        </w:rPr>
        <w:t xml:space="preserve"> </w:t>
      </w:r>
      <w:r>
        <w:rPr>
          <w:u w:val="single"/>
        </w:rPr>
        <w:t>(using Permissible Exposure Limits) is unreliable</w:t>
      </w:r>
      <w:r w:rsidR="001D2A5E">
        <w:t>:</w:t>
      </w:r>
      <w:r w:rsidR="004E4EF4">
        <w:t xml:space="preserve"> </w:t>
      </w:r>
      <w:r w:rsidR="00CC3705">
        <w:t xml:space="preserve">OSHA revised </w:t>
      </w:r>
      <w:r w:rsidR="005027F9">
        <w:t>the</w:t>
      </w:r>
      <w:r w:rsidR="00CC3705">
        <w:t xml:space="preserve"> Hazard Communication standard </w:t>
      </w:r>
      <w:r w:rsidR="00092F91">
        <w:t>[</w:t>
      </w:r>
      <w:r w:rsidR="00CC3705">
        <w:t>§ 1910.1200</w:t>
      </w:r>
      <w:r w:rsidR="00092F91">
        <w:t>]</w:t>
      </w:r>
      <w:r w:rsidR="00CC3705">
        <w:t xml:space="preserve"> in 2012 to recognize certain categories of health hazards as chemicals or mixtures that include these chemicals as exceptions to the rule of concentration-based </w:t>
      </w:r>
      <w:r w:rsidR="0064788F">
        <w:t>risk assessment</w:t>
      </w:r>
      <w:r w:rsidR="00CC3705">
        <w:t xml:space="preserve"> and to require the more reliable and critical symptom-based </w:t>
      </w:r>
      <w:r w:rsidR="0064788F">
        <w:t xml:space="preserve">exposure assessment and </w:t>
      </w:r>
      <w:r w:rsidR="00CC3705">
        <w:t xml:space="preserve">health monitoring </w:t>
      </w:r>
      <w:r w:rsidR="0064788F">
        <w:t>when such chemicals or mixtures are known or anticipated to be present</w:t>
      </w:r>
      <w:r w:rsidR="00CC3705">
        <w:t xml:space="preserve">. </w:t>
      </w:r>
    </w:p>
    <w:p w14:paraId="20E73053" w14:textId="77777777" w:rsidR="00DE1182" w:rsidRDefault="00DE1182" w:rsidP="00DE1182">
      <w:pPr>
        <w:pStyle w:val="ListParagraph"/>
        <w:spacing w:line="276" w:lineRule="auto"/>
      </w:pPr>
    </w:p>
    <w:p w14:paraId="58CA510A" w14:textId="4B7A3AA4" w:rsidR="00715A88" w:rsidRDefault="004E4EF4" w:rsidP="002868F0">
      <w:pPr>
        <w:pStyle w:val="ListParagraph"/>
        <w:numPr>
          <w:ilvl w:val="0"/>
          <w:numId w:val="18"/>
        </w:numPr>
        <w:spacing w:line="276" w:lineRule="auto"/>
        <w:ind w:left="720"/>
        <w:contextualSpacing w:val="0"/>
      </w:pPr>
      <w:r>
        <w:rPr>
          <w:u w:val="single"/>
        </w:rPr>
        <w:t xml:space="preserve">Symptom-based </w:t>
      </w:r>
      <w:r w:rsidR="00752BFB">
        <w:rPr>
          <w:u w:val="single"/>
        </w:rPr>
        <w:t>exposure assessment</w:t>
      </w:r>
      <w:r w:rsidR="00752BFB" w:rsidRPr="00D77A8C">
        <w:rPr>
          <w:u w:val="single"/>
        </w:rPr>
        <w:t xml:space="preserve"> </w:t>
      </w:r>
      <w:r>
        <w:rPr>
          <w:u w:val="single"/>
        </w:rPr>
        <w:t>is reliable</w:t>
      </w:r>
      <w:r>
        <w:t xml:space="preserve">: </w:t>
      </w:r>
      <w:r w:rsidR="007F6A59">
        <w:t>In 2012, t</w:t>
      </w:r>
      <w:r w:rsidR="006C5A3B">
        <w:t>he</w:t>
      </w:r>
      <w:r w:rsidR="00B91C25">
        <w:t xml:space="preserve"> National Institute of Occupational Health and Safety </w:t>
      </w:r>
      <w:r w:rsidR="007F6A59">
        <w:t xml:space="preserve">(NIOSH) </w:t>
      </w:r>
      <w:r w:rsidR="0064788F">
        <w:t>developed a detailed protocol for all emergency responders and post-emergency workers, using symptom-based exposure assessment for monitoring and surveillance.</w:t>
      </w:r>
      <w:r w:rsidR="00CA406E" w:rsidRPr="00CA406E">
        <w:rPr>
          <w:rStyle w:val="FootnoteReference"/>
          <w:sz w:val="24"/>
          <w:szCs w:val="24"/>
        </w:rPr>
        <w:footnoteReference w:id="3"/>
      </w:r>
      <w:r w:rsidR="0064788F">
        <w:t xml:space="preserve"> </w:t>
      </w:r>
      <w:r w:rsidR="00CA406E">
        <w:t xml:space="preserve">NIOSH maintains a training program to support use. </w:t>
      </w:r>
      <w:r w:rsidR="007F6A59">
        <w:t>T</w:t>
      </w:r>
      <w:r w:rsidR="006C5A3B">
        <w:t>he</w:t>
      </w:r>
      <w:r w:rsidR="00CC3705">
        <w:t xml:space="preserve"> </w:t>
      </w:r>
      <w:r w:rsidR="00B91C25">
        <w:t>National Response Team</w:t>
      </w:r>
      <w:r w:rsidR="0059726A">
        <w:t xml:space="preserve"> (NRT)</w:t>
      </w:r>
      <w:r w:rsidR="00B91C25">
        <w:t>, comprised of 15 federal agencies, including the USCG</w:t>
      </w:r>
      <w:r w:rsidR="0064788F">
        <w:t xml:space="preserve">, </w:t>
      </w:r>
      <w:r w:rsidR="00CC3705">
        <w:t>OSHA</w:t>
      </w:r>
      <w:r w:rsidR="006A04F8">
        <w:t xml:space="preserve">, </w:t>
      </w:r>
      <w:r w:rsidR="0064788F">
        <w:t xml:space="preserve">and DHHS </w:t>
      </w:r>
      <w:r w:rsidR="006C5A3B">
        <w:t>recommend</w:t>
      </w:r>
      <w:r w:rsidR="0064788F">
        <w:t>s</w:t>
      </w:r>
      <w:r w:rsidR="006C5A3B">
        <w:t xml:space="preserve"> </w:t>
      </w:r>
      <w:r w:rsidR="007F6A59">
        <w:t xml:space="preserve">its </w:t>
      </w:r>
      <w:r w:rsidR="006C5A3B">
        <w:t>use</w:t>
      </w:r>
      <w:r w:rsidR="00B91C25">
        <w:t>.</w:t>
      </w:r>
      <w:r w:rsidR="009F03E7">
        <w:t xml:space="preserve"> </w:t>
      </w:r>
    </w:p>
    <w:p w14:paraId="05A0944E" w14:textId="77777777" w:rsidR="00DE1182" w:rsidRDefault="00DE1182" w:rsidP="002868F0">
      <w:pPr>
        <w:spacing w:line="276" w:lineRule="auto"/>
      </w:pPr>
    </w:p>
    <w:p w14:paraId="3AC1FF64" w14:textId="77777777" w:rsidR="0082604F" w:rsidRDefault="002868F0" w:rsidP="0082604F">
      <w:pPr>
        <w:pStyle w:val="ListParagraph"/>
        <w:numPr>
          <w:ilvl w:val="0"/>
          <w:numId w:val="18"/>
        </w:numPr>
        <w:spacing w:after="60" w:line="276" w:lineRule="auto"/>
        <w:ind w:left="720"/>
        <w:contextualSpacing w:val="0"/>
      </w:pPr>
      <w:r w:rsidRPr="00361CA3">
        <w:rPr>
          <w:u w:val="single"/>
        </w:rPr>
        <w:t xml:space="preserve">Some </w:t>
      </w:r>
      <w:r w:rsidR="00361CA3" w:rsidRPr="00361CA3">
        <w:rPr>
          <w:u w:val="single"/>
        </w:rPr>
        <w:t>S</w:t>
      </w:r>
      <w:r w:rsidRPr="00361CA3">
        <w:rPr>
          <w:u w:val="single"/>
        </w:rPr>
        <w:t>tates</w:t>
      </w:r>
      <w:r w:rsidR="00361CA3" w:rsidRPr="00361CA3">
        <w:rPr>
          <w:u w:val="single"/>
        </w:rPr>
        <w:t xml:space="preserve"> and RRTs</w:t>
      </w:r>
      <w:r w:rsidRPr="00361CA3">
        <w:rPr>
          <w:u w:val="single"/>
        </w:rPr>
        <w:t xml:space="preserve"> have </w:t>
      </w:r>
      <w:r w:rsidR="00361CA3" w:rsidRPr="00361CA3">
        <w:rPr>
          <w:u w:val="single"/>
        </w:rPr>
        <w:t>cooperatively developed or are developing w</w:t>
      </w:r>
      <w:r w:rsidRPr="00361CA3">
        <w:rPr>
          <w:u w:val="single"/>
        </w:rPr>
        <w:t xml:space="preserve">orker </w:t>
      </w:r>
      <w:r w:rsidR="00361CA3" w:rsidRPr="00361CA3">
        <w:rPr>
          <w:u w:val="single"/>
        </w:rPr>
        <w:t>and public</w:t>
      </w:r>
      <w:r w:rsidRPr="00361CA3">
        <w:rPr>
          <w:u w:val="single"/>
        </w:rPr>
        <w:t xml:space="preserve"> health assessment </w:t>
      </w:r>
      <w:r w:rsidR="00361CA3" w:rsidRPr="00361CA3">
        <w:rPr>
          <w:u w:val="single"/>
        </w:rPr>
        <w:t>units</w:t>
      </w:r>
      <w:r w:rsidR="00361CA3">
        <w:t>:</w:t>
      </w:r>
      <w:r>
        <w:t xml:space="preserve"> </w:t>
      </w:r>
    </w:p>
    <w:p w14:paraId="522E0D74" w14:textId="17C34F32" w:rsidR="002868F0" w:rsidRDefault="00361CA3" w:rsidP="0082604F">
      <w:pPr>
        <w:pStyle w:val="ListParagraph"/>
        <w:numPr>
          <w:ilvl w:val="0"/>
          <w:numId w:val="20"/>
        </w:numPr>
        <w:spacing w:after="60" w:line="276" w:lineRule="auto"/>
        <w:ind w:left="1080"/>
        <w:contextualSpacing w:val="0"/>
      </w:pPr>
      <w:r>
        <w:t>RRT 10 and the Northwest Area Committee (</w:t>
      </w:r>
      <w:r w:rsidRPr="0082604F">
        <w:rPr>
          <w:u w:val="single"/>
        </w:rPr>
        <w:t>Washington, Oregon, and Idaho</w:t>
      </w:r>
      <w:r>
        <w:t>) chartered a 2023 Health and Safety</w:t>
      </w:r>
      <w:r w:rsidR="002868F0">
        <w:t xml:space="preserve"> Task Force to determine what, if anything, could be done to improve health protection for emergency responders, post-emergency workers, and the public. In its final report,</w:t>
      </w:r>
      <w:r w:rsidR="0082604F" w:rsidRPr="0018237F">
        <w:rPr>
          <w:rStyle w:val="FootnoteReference"/>
          <w:sz w:val="24"/>
        </w:rPr>
        <w:footnoteReference w:id="4"/>
      </w:r>
      <w:r w:rsidR="002868F0">
        <w:t xml:space="preserve"> the Task Force recommended developing and implementing a Worker Health Monitoring Unit and a Public Health Assessment Unit within the NCP as part of the Incident Command System and, also, rewriting all the health and safety messaging for workers and the public regarding exposure to dispersants and oil spills</w:t>
      </w:r>
      <w:r>
        <w:t xml:space="preserve"> to reflect known human health impacts</w:t>
      </w:r>
      <w:r w:rsidR="002868F0">
        <w:t>.</w:t>
      </w:r>
      <w:r w:rsidR="002868F0" w:rsidRPr="00980257">
        <w:rPr>
          <w:rStyle w:val="FootnoteReference"/>
          <w:sz w:val="24"/>
          <w:szCs w:val="24"/>
        </w:rPr>
        <w:footnoteReference w:id="5"/>
      </w:r>
      <w:r w:rsidR="002868F0">
        <w:t xml:space="preserve"> The Task Force also recommended where to fit the health monitoring units, symptom-based health surveys, and safety messaging into various sections of the Northwest ACP (Appendix D).</w:t>
      </w:r>
      <w:r w:rsidR="0082604F" w:rsidRPr="00980257">
        <w:rPr>
          <w:rStyle w:val="FootnoteReference"/>
          <w:sz w:val="24"/>
          <w:szCs w:val="24"/>
        </w:rPr>
        <w:footnoteReference w:id="6"/>
      </w:r>
    </w:p>
    <w:p w14:paraId="79B6777D" w14:textId="250B3719" w:rsidR="00CA31D4" w:rsidRDefault="00CA31D4" w:rsidP="0082604F">
      <w:pPr>
        <w:pStyle w:val="ListParagraph"/>
        <w:numPr>
          <w:ilvl w:val="0"/>
          <w:numId w:val="20"/>
        </w:numPr>
        <w:spacing w:line="276" w:lineRule="auto"/>
        <w:ind w:left="1080"/>
        <w:contextualSpacing w:val="0"/>
      </w:pPr>
      <w:r>
        <w:t xml:space="preserve">RRT </w:t>
      </w:r>
      <w:r w:rsidR="0064788F">
        <w:t>IX (9)</w:t>
      </w:r>
      <w:r>
        <w:t xml:space="preserve"> and </w:t>
      </w:r>
      <w:r w:rsidRPr="0082604F">
        <w:rPr>
          <w:u w:val="single"/>
        </w:rPr>
        <w:t>California</w:t>
      </w:r>
      <w:r>
        <w:t xml:space="preserve"> state and local officials </w:t>
      </w:r>
      <w:r w:rsidR="0064788F">
        <w:t>developed and piloted a Public Health Assessment Unit in 2015–2021</w:t>
      </w:r>
      <w:r w:rsidR="001179AE">
        <w:t xml:space="preserve"> that retains state control of public health </w:t>
      </w:r>
      <w:r w:rsidR="0059726A">
        <w:rPr>
          <w:u w:val="single"/>
        </w:rPr>
        <w:t>and</w:t>
      </w:r>
      <w:r w:rsidR="001179AE">
        <w:t xml:space="preserve"> </w:t>
      </w:r>
      <w:r w:rsidR="0064788F">
        <w:t xml:space="preserve">is </w:t>
      </w:r>
      <w:r w:rsidR="001179AE">
        <w:t>integrate</w:t>
      </w:r>
      <w:r w:rsidR="0064788F">
        <w:t>d into</w:t>
      </w:r>
      <w:r w:rsidR="001179AE">
        <w:t xml:space="preserve"> the disaster response framework to allow expenses to be reimbursed</w:t>
      </w:r>
      <w:r w:rsidR="00F85C14">
        <w:t>. T</w:t>
      </w:r>
      <w:r w:rsidR="001179AE">
        <w:t xml:space="preserve">he </w:t>
      </w:r>
      <w:r w:rsidR="00F85C14">
        <w:t>u</w:t>
      </w:r>
      <w:r w:rsidR="001179AE">
        <w:t xml:space="preserve">nit does not yet include symptom-based </w:t>
      </w:r>
      <w:r w:rsidR="0082604F">
        <w:t>exposure assessment or health monitoring.</w:t>
      </w:r>
      <w:r w:rsidR="006F68A8" w:rsidRPr="00980257">
        <w:rPr>
          <w:rStyle w:val="FootnoteReference"/>
          <w:sz w:val="24"/>
          <w:szCs w:val="24"/>
        </w:rPr>
        <w:footnoteReference w:id="7"/>
      </w:r>
      <w:r w:rsidR="0082604F" w:rsidRPr="00980257">
        <w:rPr>
          <w:szCs w:val="24"/>
        </w:rPr>
        <w:t xml:space="preserve"> </w:t>
      </w:r>
    </w:p>
    <w:p w14:paraId="5EB718AE" w14:textId="7FB9CE80" w:rsidR="007F5409" w:rsidRDefault="007F5409" w:rsidP="001179AE">
      <w:pPr>
        <w:spacing w:line="276" w:lineRule="auto"/>
        <w:contextualSpacing/>
      </w:pPr>
    </w:p>
    <w:p w14:paraId="330E59E3" w14:textId="77777777" w:rsidR="000A2285" w:rsidRPr="000A2285" w:rsidRDefault="0064788F" w:rsidP="000A2285">
      <w:pPr>
        <w:pStyle w:val="ListParagraph"/>
        <w:numPr>
          <w:ilvl w:val="0"/>
          <w:numId w:val="18"/>
        </w:numPr>
        <w:spacing w:line="276" w:lineRule="auto"/>
        <w:ind w:left="720"/>
      </w:pPr>
      <w:r>
        <w:rPr>
          <w:u w:val="single"/>
        </w:rPr>
        <w:t>There are</w:t>
      </w:r>
      <w:r w:rsidRPr="001D2A5E">
        <w:rPr>
          <w:u w:val="single"/>
        </w:rPr>
        <w:t xml:space="preserve"> validated surveys to support symptom-based </w:t>
      </w:r>
      <w:r w:rsidR="006F68A8">
        <w:rPr>
          <w:u w:val="single"/>
        </w:rPr>
        <w:t>health</w:t>
      </w:r>
      <w:r>
        <w:rPr>
          <w:u w:val="single"/>
        </w:rPr>
        <w:t xml:space="preserve"> assessment</w:t>
      </w:r>
      <w:r w:rsidR="002868F0">
        <w:rPr>
          <w:u w:val="single"/>
        </w:rPr>
        <w:t xml:space="preserve"> and monitoring</w:t>
      </w:r>
      <w:r>
        <w:t>: In 2021, teams of scientists found the immunology-based biomechanism that triggers symptoms at very low levels of exposure to health hazards</w:t>
      </w:r>
      <w:r w:rsidR="002868F0">
        <w:t xml:space="preserve"> and can lead to respiratory and/or skin sensitization and/or neurological sensitivity to light, sound, touch, and chemical odors.</w:t>
      </w:r>
      <w:r w:rsidRPr="00980257">
        <w:rPr>
          <w:rStyle w:val="FootnoteReference"/>
          <w:sz w:val="24"/>
          <w:szCs w:val="24"/>
        </w:rPr>
        <w:footnoteReference w:id="8"/>
      </w:r>
      <w:r w:rsidRPr="00980257">
        <w:rPr>
          <w:szCs w:val="24"/>
        </w:rPr>
        <w:t xml:space="preserve"> </w:t>
      </w:r>
      <w:r w:rsidR="006F68A8">
        <w:t>T</w:t>
      </w:r>
      <w:r>
        <w:t>hey developed and validated nonintrusive symptom-based survey tools that provide rapid results critical for real-time health monitoring and long-term tracking.</w:t>
      </w:r>
      <w:r w:rsidRPr="00980257">
        <w:rPr>
          <w:rStyle w:val="FootnoteReference"/>
          <w:sz w:val="24"/>
          <w:szCs w:val="24"/>
        </w:rPr>
        <w:footnoteReference w:id="9"/>
      </w:r>
      <w:r w:rsidRPr="00980257">
        <w:rPr>
          <w:szCs w:val="24"/>
        </w:rPr>
        <w:t xml:space="preserve"> </w:t>
      </w:r>
    </w:p>
    <w:p w14:paraId="0254684F" w14:textId="77777777" w:rsidR="000A2285" w:rsidRDefault="000A2285" w:rsidP="000A2285">
      <w:pPr>
        <w:pStyle w:val="ListParagraph"/>
        <w:spacing w:line="276" w:lineRule="auto"/>
      </w:pPr>
    </w:p>
    <w:p w14:paraId="6F61B050" w14:textId="6A817807" w:rsidR="000A2285" w:rsidRPr="000A2285" w:rsidRDefault="000A2285" w:rsidP="000A2285">
      <w:pPr>
        <w:pStyle w:val="ListParagraph"/>
        <w:numPr>
          <w:ilvl w:val="0"/>
          <w:numId w:val="18"/>
        </w:numPr>
        <w:spacing w:line="276" w:lineRule="auto"/>
        <w:ind w:left="720"/>
        <w:rPr>
          <w:szCs w:val="24"/>
        </w:rPr>
      </w:pPr>
      <w:r w:rsidRPr="000A2285">
        <w:rPr>
          <w:u w:val="single"/>
        </w:rPr>
        <w:t>The need to update health and safety messaging for workers and the public is urgent</w:t>
      </w:r>
      <w:r>
        <w:t xml:space="preserve">:  Post-BP Deepwater Horizon disaster studies found that the widely used Corexit dispersants are </w:t>
      </w:r>
      <w:r w:rsidRPr="000A2285">
        <w:rPr>
          <w:rFonts w:cs="Calibri"/>
          <w:color w:val="222222"/>
          <w:shd w:val="clear" w:color="auto" w:fill="FFFFFF"/>
        </w:rPr>
        <w:t>potent respiratory and skin sensitizers, carcinogens that trigger multiple cancer pathways, and teratogens that disrupt development of fetuses, and can cause specific target organ toxicity to the blood, respiratory, cardiovascular, and peripheral and central nervous systems.</w:t>
      </w:r>
      <w:r w:rsidRPr="000A2285">
        <w:rPr>
          <w:rStyle w:val="FootnoteReference"/>
          <w:rFonts w:cs="Calibri"/>
          <w:color w:val="222222"/>
          <w:sz w:val="24"/>
          <w:szCs w:val="24"/>
          <w:shd w:val="clear" w:color="auto" w:fill="FFFFFF"/>
        </w:rPr>
        <w:footnoteReference w:id="10"/>
      </w:r>
      <w:r w:rsidRPr="000A2285">
        <w:rPr>
          <w:rFonts w:cs="Calibri"/>
          <w:color w:val="222222"/>
          <w:shd w:val="clear" w:color="auto" w:fill="FFFFFF"/>
        </w:rPr>
        <w:t xml:space="preserve"> None of this is reflected in current government and industry safety messaging, which still claims (falsely) that these products are as safe as common household cleaning products and exposure risk is minimal.</w:t>
      </w:r>
      <w:r w:rsidRPr="000A2285">
        <w:rPr>
          <w:rStyle w:val="FootnoteReference"/>
          <w:rFonts w:cs="Calibri"/>
          <w:color w:val="222222"/>
          <w:sz w:val="24"/>
          <w:szCs w:val="24"/>
          <w:shd w:val="clear" w:color="auto" w:fill="FFFFFF"/>
        </w:rPr>
        <w:footnoteReference w:id="11"/>
      </w:r>
      <w:r w:rsidR="00E62D3A">
        <w:rPr>
          <w:rFonts w:cs="Calibri"/>
          <w:color w:val="222222"/>
          <w:shd w:val="clear" w:color="auto" w:fill="FFFFFF"/>
        </w:rPr>
        <w:t xml:space="preserve"> </w:t>
      </w:r>
    </w:p>
    <w:p w14:paraId="080661CA" w14:textId="77777777" w:rsidR="000A2285" w:rsidRDefault="000A2285" w:rsidP="00037E27">
      <w:pPr>
        <w:spacing w:line="276" w:lineRule="auto"/>
        <w:ind w:firstLine="720"/>
        <w:contextualSpacing/>
      </w:pPr>
    </w:p>
    <w:p w14:paraId="043BD6D4" w14:textId="1CA41FE7" w:rsidR="00B119ED" w:rsidRDefault="00E62D3A" w:rsidP="00037E27">
      <w:pPr>
        <w:spacing w:line="276" w:lineRule="auto"/>
        <w:ind w:firstLine="720"/>
        <w:contextualSpacing/>
      </w:pPr>
      <w:r>
        <w:t>As previously stated, t</w:t>
      </w:r>
      <w:r w:rsidR="001E274D">
        <w:t xml:space="preserve">he logistics for conducting human health </w:t>
      </w:r>
      <w:r w:rsidR="00B119ED">
        <w:t>assessment</w:t>
      </w:r>
      <w:r w:rsidR="001E274D">
        <w:t xml:space="preserve"> falls to states for public health and to </w:t>
      </w:r>
      <w:r w:rsidR="0059726A">
        <w:t xml:space="preserve">federal OSHA for workers and </w:t>
      </w:r>
      <w:r w:rsidR="001E274D">
        <w:t>states that have OSHA-approved plans</w:t>
      </w:r>
      <w:r w:rsidR="0059726A">
        <w:t>.</w:t>
      </w:r>
      <w:r w:rsidR="001E274D">
        <w:t xml:space="preserve"> </w:t>
      </w:r>
      <w:r w:rsidR="00E95790">
        <w:t>Therefore, it falls to the state lead agencies</w:t>
      </w:r>
      <w:r>
        <w:t xml:space="preserve"> </w:t>
      </w:r>
      <w:r w:rsidR="00E95790">
        <w:t>for oil spill response</w:t>
      </w:r>
      <w:r>
        <w:t>, OSHA, and DHHS</w:t>
      </w:r>
      <w:r w:rsidR="00E95790">
        <w:t xml:space="preserve"> to</w:t>
      </w:r>
      <w:r w:rsidR="00971ECE">
        <w:t xml:space="preserve"> </w:t>
      </w:r>
      <w:r>
        <w:t>take the lead on human health issues</w:t>
      </w:r>
      <w:r w:rsidR="00971ECE">
        <w:t xml:space="preserve"> during the current reorganization process</w:t>
      </w:r>
      <w:r w:rsidR="00E95790">
        <w:t>.</w:t>
      </w:r>
      <w:r w:rsidR="00971ECE">
        <w:t xml:space="preserve"> </w:t>
      </w:r>
    </w:p>
    <w:p w14:paraId="3964D617" w14:textId="77777777" w:rsidR="00B119ED" w:rsidRDefault="00B119ED" w:rsidP="009F03E7">
      <w:pPr>
        <w:spacing w:line="276" w:lineRule="auto"/>
        <w:ind w:firstLine="720"/>
        <w:contextualSpacing/>
      </w:pPr>
    </w:p>
    <w:p w14:paraId="0DD9B636" w14:textId="632DAD34" w:rsidR="00B119ED" w:rsidRPr="00B119ED" w:rsidRDefault="00B119ED" w:rsidP="00B119ED">
      <w:pPr>
        <w:pStyle w:val="bellezanormal0"/>
        <w:rPr>
          <w:i/>
          <w:iCs/>
          <w:color w:val="000000" w:themeColor="text1"/>
        </w:rPr>
      </w:pPr>
      <w:r>
        <w:rPr>
          <w:i/>
          <w:iCs/>
          <w:color w:val="000000" w:themeColor="text1"/>
        </w:rPr>
        <w:t>Regional Citizens’ Advisory Councils</w:t>
      </w:r>
    </w:p>
    <w:p w14:paraId="742FE126" w14:textId="77777777" w:rsidR="00B119ED" w:rsidRDefault="00B119ED" w:rsidP="00B119ED">
      <w:pPr>
        <w:spacing w:line="276" w:lineRule="auto"/>
        <w:ind w:firstLine="720"/>
        <w:contextualSpacing/>
      </w:pPr>
    </w:p>
    <w:p w14:paraId="59B2AD86" w14:textId="007896B3" w:rsidR="00C557BB" w:rsidRDefault="00601C51" w:rsidP="00601C51">
      <w:pPr>
        <w:spacing w:line="276" w:lineRule="auto"/>
        <w:ind w:firstLine="720"/>
        <w:contextualSpacing/>
      </w:pPr>
      <w:r>
        <w:t xml:space="preserve">In its final report, the National Commission on the Deepwater Horizon found </w:t>
      </w:r>
      <w:r w:rsidR="008C26BD">
        <w:t>that the Coast Guard’s failure to actively engage state and local officials in the development of ACPs undercut the efficacy of the overall response during the disaster</w:t>
      </w:r>
      <w:r>
        <w:t xml:space="preserve"> response</w:t>
      </w:r>
      <w:r w:rsidR="008C26BD">
        <w:t>.</w:t>
      </w:r>
      <w:r w:rsidR="008C26BD" w:rsidRPr="00A9165F">
        <w:rPr>
          <w:rStyle w:val="FootnoteReference"/>
          <w:sz w:val="24"/>
        </w:rPr>
        <w:footnoteReference w:id="12"/>
      </w:r>
      <w:r w:rsidR="008C26BD">
        <w:t xml:space="preserve"> </w:t>
      </w:r>
      <w:r w:rsidR="00D60147" w:rsidRPr="00C557BB">
        <w:t xml:space="preserve">To close </w:t>
      </w:r>
      <w:r w:rsidR="00D60147">
        <w:t>this</w:t>
      </w:r>
      <w:r w:rsidR="00D60147" w:rsidRPr="00C557BB">
        <w:t xml:space="preserve"> critical gap in the government’s existing response capacity</w:t>
      </w:r>
      <w:r w:rsidR="001C581E">
        <w:t>, t</w:t>
      </w:r>
      <w:r w:rsidR="008C26BD">
        <w:t xml:space="preserve">he Commission </w:t>
      </w:r>
      <w:r w:rsidR="00C557BB">
        <w:t>recommend</w:t>
      </w:r>
      <w:r w:rsidR="001C581E">
        <w:t>ed</w:t>
      </w:r>
      <w:r w:rsidR="00D60147">
        <w:t xml:space="preserve"> </w:t>
      </w:r>
      <w:r w:rsidR="00E95790">
        <w:t>“</w:t>
      </w:r>
      <w:r w:rsidR="00D60147">
        <w:t>C3</w:t>
      </w:r>
      <w:r w:rsidR="00E95790">
        <w:t>:</w:t>
      </w:r>
      <w:r w:rsidR="001733C0">
        <w:t xml:space="preserve"> </w:t>
      </w:r>
      <w:r w:rsidR="00C557BB" w:rsidRPr="00C557BB">
        <w:t xml:space="preserve">EPA and the Coast Guard should bolster state and local involvement in spill planning and response similar to the </w:t>
      </w:r>
      <w:r w:rsidR="00C557BB">
        <w:t xml:space="preserve">Regional Citizens’ Advisory Councils </w:t>
      </w:r>
      <w:r w:rsidR="00B82479">
        <w:t>mandated by the Oil Pollution Act of 1990.</w:t>
      </w:r>
      <w:r w:rsidR="00C557BB" w:rsidRPr="00C557BB">
        <w:t>”</w:t>
      </w:r>
      <w:r w:rsidR="00B82479" w:rsidRPr="00A9165F">
        <w:rPr>
          <w:rStyle w:val="FootnoteReference"/>
          <w:sz w:val="24"/>
        </w:rPr>
        <w:footnoteReference w:id="13"/>
      </w:r>
      <w:r>
        <w:t xml:space="preserve"> </w:t>
      </w:r>
    </w:p>
    <w:p w14:paraId="52D82DAA" w14:textId="77777777" w:rsidR="00601C51" w:rsidRPr="00C557BB" w:rsidRDefault="00601C51" w:rsidP="00601C51">
      <w:pPr>
        <w:spacing w:line="276" w:lineRule="auto"/>
        <w:ind w:firstLine="720"/>
        <w:contextualSpacing/>
      </w:pPr>
    </w:p>
    <w:p w14:paraId="38EBB3F2" w14:textId="64D221BD" w:rsidR="002D19D1" w:rsidRDefault="002D19D1" w:rsidP="002D19D1">
      <w:pPr>
        <w:spacing w:line="276" w:lineRule="auto"/>
        <w:ind w:firstLine="720"/>
        <w:contextualSpacing/>
      </w:pPr>
      <w:r>
        <w:t xml:space="preserve">ACPs are </w:t>
      </w:r>
      <w:r w:rsidRPr="00916AA5">
        <w:rPr>
          <w:u w:val="single"/>
        </w:rPr>
        <w:t>not</w:t>
      </w:r>
      <w:r>
        <w:t xml:space="preserve"> Regional Citizens’ Advisory Councils (RCACs or “Citizens’ Councils”). The Oil Pollution Act specifically established ACPs </w:t>
      </w:r>
      <w:r w:rsidRPr="00C4053F">
        <w:rPr>
          <w:u w:val="single"/>
        </w:rPr>
        <w:t>and</w:t>
      </w:r>
      <w:r>
        <w:t xml:space="preserve"> RCACs, </w:t>
      </w:r>
      <w:r w:rsidRPr="00C4053F">
        <w:t>because both are needed for efficient and effective ACPs that work as intended and do no more harm</w:t>
      </w:r>
      <w:r>
        <w:t xml:space="preserve">. The current reorganization of ACPs does not address the National Commission’s Recommendation C3, but it provides an opportunity to do so. </w:t>
      </w:r>
    </w:p>
    <w:p w14:paraId="6BDE9D41" w14:textId="45631146" w:rsidR="002D19D1" w:rsidRDefault="002D19D1" w:rsidP="00C557BB">
      <w:pPr>
        <w:spacing w:line="276" w:lineRule="auto"/>
        <w:ind w:firstLine="720"/>
        <w:contextualSpacing/>
      </w:pPr>
    </w:p>
    <w:p w14:paraId="753F0EC8" w14:textId="4B61B83A" w:rsidR="002D19D1" w:rsidRDefault="002D19D1" w:rsidP="002D19D1">
      <w:pPr>
        <w:spacing w:line="276" w:lineRule="auto"/>
        <w:ind w:firstLine="720"/>
        <w:contextualSpacing/>
      </w:pPr>
      <w:r>
        <w:t>RCACs serve a different function than ACPs.</w:t>
      </w:r>
      <w:r w:rsidRPr="00A9165F">
        <w:rPr>
          <w:rStyle w:val="FootnoteReference"/>
          <w:sz w:val="24"/>
        </w:rPr>
        <w:footnoteReference w:id="14"/>
      </w:r>
      <w:r>
        <w:t xml:space="preserve"> They provide </w:t>
      </w:r>
      <w:r w:rsidRPr="00F56DC8">
        <w:t xml:space="preserve">science and technical </w:t>
      </w:r>
      <w:r>
        <w:t>support for the Area Committees.</w:t>
      </w:r>
      <w:r w:rsidRPr="00F56DC8">
        <w:t xml:space="preserve"> </w:t>
      </w:r>
      <w:r>
        <w:t>They conduct</w:t>
      </w:r>
      <w:r w:rsidRPr="00F56DC8">
        <w:rPr>
          <w:color w:val="000000"/>
        </w:rPr>
        <w:t xml:space="preserve"> the research, </w:t>
      </w:r>
      <w:r w:rsidRPr="00F56DC8">
        <w:t xml:space="preserve">environmental monitoring, and </w:t>
      </w:r>
      <w:r>
        <w:t xml:space="preserve">thorough </w:t>
      </w:r>
      <w:r w:rsidRPr="00F56DC8">
        <w:t>contingency plan reviews needed to demonstrate safe environmental practices.</w:t>
      </w:r>
      <w:r w:rsidRPr="00A9165F">
        <w:rPr>
          <w:rStyle w:val="FootnoteReference"/>
          <w:sz w:val="24"/>
        </w:rPr>
        <w:footnoteReference w:id="15"/>
      </w:r>
      <w:r w:rsidRPr="00F56DC8">
        <w:t xml:space="preserve"> </w:t>
      </w:r>
      <w:r>
        <w:t xml:space="preserve">They generate quality, area-specific information for Area Committees and RRTs to make informed decisions </w:t>
      </w:r>
      <w:r w:rsidRPr="00F56DC8">
        <w:t xml:space="preserve">in developing and updating </w:t>
      </w:r>
      <w:r>
        <w:t xml:space="preserve">ACPs and RCPs, </w:t>
      </w:r>
      <w:r w:rsidRPr="00B45275">
        <w:t>and</w:t>
      </w:r>
      <w:r>
        <w:t xml:space="preserve"> they provide a critical feedback loop to determine if the Plans work as intended.</w:t>
      </w:r>
    </w:p>
    <w:p w14:paraId="7E3833D0" w14:textId="77777777" w:rsidR="002D19D1" w:rsidRDefault="002D19D1" w:rsidP="00C557BB">
      <w:pPr>
        <w:spacing w:line="276" w:lineRule="auto"/>
        <w:ind w:firstLine="720"/>
        <w:contextualSpacing/>
      </w:pPr>
    </w:p>
    <w:p w14:paraId="76E6CA3A" w14:textId="54A7DBA2" w:rsidR="000654AE" w:rsidRDefault="000654AE" w:rsidP="000654AE">
      <w:pPr>
        <w:tabs>
          <w:tab w:val="left" w:pos="720"/>
          <w:tab w:val="left" w:pos="4320"/>
        </w:tabs>
        <w:spacing w:line="276" w:lineRule="auto"/>
        <w:contextualSpacing/>
      </w:pPr>
      <w:r w:rsidRPr="000654AE">
        <w:tab/>
      </w:r>
      <w:r w:rsidR="008C2BC7" w:rsidRPr="00D95387">
        <w:t>We are</w:t>
      </w:r>
      <w:r w:rsidR="008C2BC7">
        <w:t xml:space="preserve"> asking you</w:t>
      </w:r>
      <w:r>
        <w:t xml:space="preserve"> and your teams </w:t>
      </w:r>
      <w:r w:rsidR="008C2BC7">
        <w:t xml:space="preserve">to </w:t>
      </w:r>
      <w:r>
        <w:t xml:space="preserve">coordinate with other </w:t>
      </w:r>
      <w:r w:rsidR="00715182">
        <w:t xml:space="preserve">coastal </w:t>
      </w:r>
      <w:r>
        <w:t xml:space="preserve">states in EPA </w:t>
      </w:r>
      <w:r w:rsidRPr="00D95387">
        <w:t xml:space="preserve">Region </w:t>
      </w:r>
      <w:r w:rsidR="002E398F">
        <w:rPr>
          <w:color w:val="000000" w:themeColor="text1"/>
        </w:rPr>
        <w:t>X</w:t>
      </w:r>
      <w:r>
        <w:t xml:space="preserve"> </w:t>
      </w:r>
      <w:r w:rsidR="00FF0F7D">
        <w:t xml:space="preserve">ARRT </w:t>
      </w:r>
      <w:r w:rsidR="00715182">
        <w:t xml:space="preserve">and nationwide </w:t>
      </w:r>
      <w:r>
        <w:t xml:space="preserve">to </w:t>
      </w:r>
      <w:r w:rsidR="008C2BC7" w:rsidRPr="00760AE5">
        <w:rPr>
          <w:u w:val="single"/>
        </w:rPr>
        <w:t>adapt</w:t>
      </w:r>
      <w:r w:rsidR="008C2BC7">
        <w:t xml:space="preserve"> </w:t>
      </w:r>
      <w:r w:rsidR="004C4F48">
        <w:t xml:space="preserve">and apply </w:t>
      </w:r>
      <w:r w:rsidR="008C2BC7">
        <w:t xml:space="preserve">this model citizens’ council </w:t>
      </w:r>
      <w:r>
        <w:t>to serve the Region’s States, Area Committees, and RRT via its state representatives</w:t>
      </w:r>
      <w:r w:rsidR="00FA4F3D">
        <w:t>.</w:t>
      </w:r>
      <w:r w:rsidR="008C2BC7">
        <w:t xml:space="preserve"> </w:t>
      </w:r>
      <w:r>
        <w:t xml:space="preserve">The next generation RCACs should be tasked with, at a minimum: </w:t>
      </w:r>
    </w:p>
    <w:p w14:paraId="0EE918E5" w14:textId="77777777" w:rsidR="000654AE" w:rsidRDefault="000654AE" w:rsidP="000654AE">
      <w:pPr>
        <w:pStyle w:val="ListParagraph"/>
        <w:numPr>
          <w:ilvl w:val="0"/>
          <w:numId w:val="18"/>
        </w:numPr>
        <w:tabs>
          <w:tab w:val="left" w:pos="720"/>
          <w:tab w:val="left" w:pos="4320"/>
        </w:tabs>
        <w:spacing w:line="276" w:lineRule="auto"/>
        <w:ind w:left="1080"/>
      </w:pPr>
      <w:r>
        <w:t>supplemental testing for use of dispersants and other products to determine what products can be used safely in state and adjacent federal waters with species of concern [§ 300.910(g)</w:t>
      </w:r>
      <w:proofErr w:type="gramStart"/>
      <w:r>
        <w:t>];</w:t>
      </w:r>
      <w:proofErr w:type="gramEnd"/>
      <w:r>
        <w:t xml:space="preserve"> </w:t>
      </w:r>
    </w:p>
    <w:p w14:paraId="64DF844C" w14:textId="77777777" w:rsidR="000654AE" w:rsidRDefault="000654AE" w:rsidP="000654AE">
      <w:pPr>
        <w:pStyle w:val="ListParagraph"/>
        <w:numPr>
          <w:ilvl w:val="0"/>
          <w:numId w:val="18"/>
        </w:numPr>
        <w:tabs>
          <w:tab w:val="left" w:pos="720"/>
          <w:tab w:val="left" w:pos="4320"/>
        </w:tabs>
        <w:spacing w:line="276" w:lineRule="auto"/>
        <w:ind w:left="1080"/>
      </w:pPr>
      <w:r>
        <w:t xml:space="preserve">conducting baseline and post-event surveys for public health monitoring to determine location and needs of vulnerable populations during and after an oil spill to support the public health assessment units; and </w:t>
      </w:r>
    </w:p>
    <w:p w14:paraId="19F364EB" w14:textId="4BBB20A0" w:rsidR="00111C32" w:rsidRDefault="000654AE" w:rsidP="000654AE">
      <w:pPr>
        <w:pStyle w:val="ListParagraph"/>
        <w:numPr>
          <w:ilvl w:val="0"/>
          <w:numId w:val="18"/>
        </w:numPr>
        <w:tabs>
          <w:tab w:val="left" w:pos="720"/>
          <w:tab w:val="left" w:pos="4320"/>
        </w:tabs>
        <w:spacing w:line="276" w:lineRule="auto"/>
        <w:ind w:left="1080"/>
      </w:pPr>
      <w:r>
        <w:t>thorough reviews of industry and government contingency plans in the regions under their associated RRT’s jurisdiction.</w:t>
      </w:r>
      <w:r>
        <w:rPr>
          <w:rStyle w:val="FootnoteReference"/>
        </w:rPr>
        <w:footnoteReference w:id="16"/>
      </w:r>
    </w:p>
    <w:p w14:paraId="5B42476B" w14:textId="77777777" w:rsidR="004C4F48" w:rsidRDefault="004C4F48" w:rsidP="00111C32">
      <w:pPr>
        <w:spacing w:line="276" w:lineRule="auto"/>
        <w:ind w:firstLine="720"/>
        <w:contextualSpacing/>
      </w:pPr>
    </w:p>
    <w:p w14:paraId="331163B6" w14:textId="42ECD6DF" w:rsidR="003034B4" w:rsidRDefault="003034B4" w:rsidP="003034B4">
      <w:pPr>
        <w:tabs>
          <w:tab w:val="left" w:pos="720"/>
          <w:tab w:val="left" w:pos="4320"/>
        </w:tabs>
        <w:spacing w:line="276" w:lineRule="auto"/>
        <w:contextualSpacing/>
      </w:pPr>
      <w:r>
        <w:tab/>
        <w:t>To perform these critical functions, the RCACs must be autonomous, able to act free of outside control. The Oil Pollution Act recognized this when it made the original RCACs self-governing,</w:t>
      </w:r>
      <w:r>
        <w:rPr>
          <w:rStyle w:val="FootnoteReference"/>
        </w:rPr>
        <w:footnoteReference w:id="17"/>
      </w:r>
      <w:r>
        <w:t xml:space="preserve"> restricted federal and state agencies to nonvoting membership,</w:t>
      </w:r>
      <w:r>
        <w:rPr>
          <w:rStyle w:val="FootnoteReference"/>
        </w:rPr>
        <w:footnoteReference w:id="18"/>
      </w:r>
      <w:r>
        <w:t xml:space="preserve"> and prohibited industry participation.</w:t>
      </w:r>
      <w:r>
        <w:rPr>
          <w:rStyle w:val="FootnoteReference"/>
        </w:rPr>
        <w:footnoteReference w:id="19"/>
      </w:r>
      <w:r>
        <w:t xml:space="preserve"> </w:t>
      </w:r>
    </w:p>
    <w:p w14:paraId="3D2AFD68" w14:textId="77777777" w:rsidR="003034B4" w:rsidRDefault="003034B4" w:rsidP="003034B4">
      <w:pPr>
        <w:tabs>
          <w:tab w:val="left" w:pos="720"/>
          <w:tab w:val="left" w:pos="4320"/>
        </w:tabs>
        <w:spacing w:line="276" w:lineRule="auto"/>
        <w:contextualSpacing/>
      </w:pPr>
    </w:p>
    <w:p w14:paraId="354852C7" w14:textId="77777777" w:rsidR="003034B4" w:rsidRDefault="003034B4" w:rsidP="003034B4">
      <w:pPr>
        <w:tabs>
          <w:tab w:val="left" w:pos="720"/>
          <w:tab w:val="left" w:pos="4320"/>
        </w:tabs>
        <w:spacing w:after="60" w:line="276" w:lineRule="auto"/>
      </w:pPr>
      <w:r>
        <w:tab/>
        <w:t xml:space="preserve">In contrast and of grave concern to us, the USCG Commandant Instruction created a workaround of the Federal Advisory Committee Act, which prohibits </w:t>
      </w:r>
      <w:r w:rsidRPr="009D032F">
        <w:t>industry representatives from holding Area Committee membership</w:t>
      </w:r>
      <w:r>
        <w:t>. The Commandant Instruction notes,</w:t>
      </w:r>
      <w:r w:rsidRPr="0001370D">
        <w:t xml:space="preserve"> </w:t>
      </w:r>
      <w:r>
        <w:t>“</w:t>
      </w:r>
      <w:r w:rsidRPr="0001370D">
        <w:t>however, industry participation in Area Committee meetings is invaluable.</w:t>
      </w:r>
      <w:r>
        <w:t>”</w:t>
      </w:r>
      <w:r>
        <w:rPr>
          <w:rStyle w:val="FootnoteReference"/>
        </w:rPr>
        <w:footnoteReference w:id="20"/>
      </w:r>
      <w:r w:rsidRPr="0001370D">
        <w:t xml:space="preserve"> </w:t>
      </w:r>
      <w:r>
        <w:t xml:space="preserve">The workaround allows Area Committees to establish subcommittees that specifically include industry participation: </w:t>
      </w:r>
    </w:p>
    <w:p w14:paraId="329C6786" w14:textId="77777777" w:rsidR="003034B4" w:rsidRDefault="003034B4" w:rsidP="003034B4">
      <w:pPr>
        <w:tabs>
          <w:tab w:val="left" w:pos="720"/>
          <w:tab w:val="left" w:pos="4320"/>
        </w:tabs>
        <w:spacing w:line="276" w:lineRule="auto"/>
        <w:ind w:left="720" w:right="720"/>
        <w:contextualSpacing/>
      </w:pPr>
      <w:r>
        <w:t>“</w:t>
      </w:r>
      <w:r w:rsidRPr="0001370D">
        <w:t>Subcommittee participants include individuals such as facility and vessel owners/operators, spill cleanup contractors, emergency response officials, marine pilots, local chemical manufacturers, salvage and marine fire-fighting entities, and members of other qualified organizations from the local community, such as Non-Governmental Organizations (NGOs)</w:t>
      </w:r>
      <w:r>
        <w:t>.</w:t>
      </w:r>
      <w:r>
        <w:rPr>
          <w:rStyle w:val="FootnoteReference"/>
        </w:rPr>
        <w:footnoteReference w:id="21"/>
      </w:r>
      <w:r>
        <w:t xml:space="preserve"> </w:t>
      </w:r>
    </w:p>
    <w:p w14:paraId="353C413E" w14:textId="77777777" w:rsidR="003034B4" w:rsidRDefault="003034B4" w:rsidP="003034B4">
      <w:pPr>
        <w:tabs>
          <w:tab w:val="left" w:pos="4320"/>
        </w:tabs>
        <w:spacing w:line="276" w:lineRule="auto"/>
        <w:contextualSpacing/>
      </w:pPr>
    </w:p>
    <w:p w14:paraId="639FBEE3" w14:textId="1B4193AE" w:rsidR="003034B4" w:rsidRPr="00E25327" w:rsidRDefault="003034B4" w:rsidP="003034B4">
      <w:pPr>
        <w:tabs>
          <w:tab w:val="left" w:pos="720"/>
        </w:tabs>
        <w:spacing w:line="276" w:lineRule="auto"/>
      </w:pPr>
      <w:r>
        <w:tab/>
        <w:t xml:space="preserve">To be clear, RCACs are not meant to be a function of subcommittees or special Task Forces that serve Area Committees. To close a critical gap in national preparedness and fulfill the National Commission’s Recommendation C3, the States must create RCACs as stand-alone, autonomous entities </w:t>
      </w:r>
      <w:r w:rsidRPr="00E25327">
        <w:rPr>
          <w:i/>
          <w:iCs/>
        </w:rPr>
        <w:t>accountable to states</w:t>
      </w:r>
      <w:r>
        <w:t xml:space="preserve">. For example, the Oil Pollution Act </w:t>
      </w:r>
      <w:r w:rsidRPr="008469E9">
        <w:rPr>
          <w:color w:val="000000" w:themeColor="text1"/>
        </w:rPr>
        <w:t>required funding for each RCAC to be provided by owners and operators of oil facilities and tankers</w:t>
      </w:r>
      <w:r>
        <w:rPr>
          <w:color w:val="000000" w:themeColor="text1"/>
        </w:rPr>
        <w:t xml:space="preserve"> in the region of operation.</w:t>
      </w:r>
      <w:r w:rsidRPr="00A9165F">
        <w:rPr>
          <w:rStyle w:val="FootnoteReference"/>
          <w:sz w:val="24"/>
        </w:rPr>
        <w:footnoteReference w:id="22"/>
      </w:r>
      <w:r>
        <w:rPr>
          <w:color w:val="000000" w:themeColor="text1"/>
        </w:rPr>
        <w:t xml:space="preserve"> The same opportunity should be afforded states, as part of their </w:t>
      </w:r>
      <w:r w:rsidRPr="003034B4">
        <w:rPr>
          <w:i/>
          <w:iCs/>
          <w:color w:val="000000" w:themeColor="text1"/>
        </w:rPr>
        <w:t>required</w:t>
      </w:r>
      <w:r>
        <w:rPr>
          <w:color w:val="000000" w:themeColor="text1"/>
        </w:rPr>
        <w:t xml:space="preserve"> oil spill response preparation and planning. </w:t>
      </w:r>
    </w:p>
    <w:p w14:paraId="0997C368" w14:textId="77777777" w:rsidR="004C4F48" w:rsidRDefault="004C4F48" w:rsidP="004C4F48">
      <w:pPr>
        <w:pStyle w:val="bellezanormal0"/>
        <w:rPr>
          <w:color w:val="000000" w:themeColor="text1"/>
        </w:rPr>
      </w:pPr>
    </w:p>
    <w:p w14:paraId="7E93C224" w14:textId="138C3692" w:rsidR="000F270A" w:rsidRDefault="000F270A" w:rsidP="004C4F48">
      <w:pPr>
        <w:pStyle w:val="bellezanormal0"/>
        <w:rPr>
          <w:color w:val="000000" w:themeColor="text1"/>
        </w:rPr>
      </w:pPr>
      <w:r>
        <w:rPr>
          <w:color w:val="000000" w:themeColor="text1"/>
        </w:rPr>
        <w:tab/>
      </w:r>
      <w:r w:rsidR="003034B4">
        <w:rPr>
          <w:color w:val="000000" w:themeColor="text1"/>
        </w:rPr>
        <w:t xml:space="preserve">Our requests are urgent. As concerned </w:t>
      </w:r>
      <w:r>
        <w:rPr>
          <w:color w:val="000000" w:themeColor="text1"/>
        </w:rPr>
        <w:t xml:space="preserve">citizens who must live with the toxic consequences of oil spills and products used during a response, </w:t>
      </w:r>
      <w:r w:rsidR="00DF3112">
        <w:rPr>
          <w:color w:val="000000" w:themeColor="text1"/>
        </w:rPr>
        <w:t xml:space="preserve">we ask </w:t>
      </w:r>
      <w:r w:rsidR="003034B4">
        <w:rPr>
          <w:color w:val="000000" w:themeColor="text1"/>
        </w:rPr>
        <w:t>our State to</w:t>
      </w:r>
      <w:r>
        <w:rPr>
          <w:color w:val="000000" w:themeColor="text1"/>
        </w:rPr>
        <w:t xml:space="preserve"> </w:t>
      </w:r>
      <w:r w:rsidR="003034B4">
        <w:rPr>
          <w:color w:val="000000" w:themeColor="text1"/>
        </w:rPr>
        <w:t>tap into the networks of non-governmental, non-industry affiliated organizations in coastal states, inviting us to be part of preparing effective, efficient oil spill response plans that work as intended and do no more harm. This is what community resiliency looks like. It is the missing core of national preparedness. Anything less will fall short of the mark.</w:t>
      </w:r>
    </w:p>
    <w:p w14:paraId="6285D8F4" w14:textId="77777777" w:rsidR="000F270A" w:rsidRDefault="000F270A" w:rsidP="004C4F48">
      <w:pPr>
        <w:pStyle w:val="bellezanormal0"/>
        <w:rPr>
          <w:color w:val="000000" w:themeColor="text1"/>
        </w:rPr>
      </w:pPr>
    </w:p>
    <w:p w14:paraId="1E302056" w14:textId="058BE2BB" w:rsidR="004C4F48" w:rsidRPr="00974048" w:rsidRDefault="004C4F48" w:rsidP="004C4F48">
      <w:pPr>
        <w:pStyle w:val="bellezanormal0"/>
        <w:rPr>
          <w:color w:val="000000" w:themeColor="text1"/>
        </w:rPr>
      </w:pPr>
      <w:r w:rsidRPr="00974048">
        <w:rPr>
          <w:color w:val="000000" w:themeColor="text1"/>
        </w:rPr>
        <w:t>Sincerely,</w:t>
      </w:r>
    </w:p>
    <w:p w14:paraId="6210F741" w14:textId="77777777" w:rsidR="00E905E6" w:rsidRDefault="00E905E6" w:rsidP="00C51C9F">
      <w:pPr>
        <w:spacing w:line="276" w:lineRule="auto"/>
        <w:contextualSpacing/>
      </w:pPr>
    </w:p>
    <w:p w14:paraId="5730B0F6" w14:textId="527CFEC1" w:rsidR="00E905E6" w:rsidRPr="00D95387" w:rsidRDefault="00E905E6" w:rsidP="00E905E6">
      <w:pPr>
        <w:pStyle w:val="bellezanormal0"/>
        <w:rPr>
          <w:color w:val="000000" w:themeColor="text1"/>
          <w:highlight w:val="yellow"/>
        </w:rPr>
      </w:pPr>
      <w:r w:rsidRPr="00D95387">
        <w:rPr>
          <w:color w:val="000000" w:themeColor="text1"/>
          <w:highlight w:val="yellow"/>
        </w:rPr>
        <w:t>NAME of ORGANIZATION(S)</w:t>
      </w:r>
    </w:p>
    <w:p w14:paraId="0201A4AA"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name</w:t>
      </w:r>
    </w:p>
    <w:p w14:paraId="1416B253"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title</w:t>
      </w:r>
    </w:p>
    <w:p w14:paraId="45C3E635" w14:textId="77777777" w:rsidR="00E905E6" w:rsidRDefault="00E905E6" w:rsidP="00E905E6">
      <w:pPr>
        <w:pStyle w:val="bellezanormal0"/>
        <w:ind w:left="360"/>
      </w:pPr>
      <w:r w:rsidRPr="00D95387">
        <w:rPr>
          <w:highlight w:val="yellow"/>
        </w:rPr>
        <w:t>Email</w:t>
      </w:r>
    </w:p>
    <w:p w14:paraId="6B8B39AE" w14:textId="77777777" w:rsidR="00E905E6" w:rsidRDefault="00E905E6" w:rsidP="00C51C9F">
      <w:pPr>
        <w:spacing w:line="276" w:lineRule="auto"/>
        <w:contextualSpacing/>
      </w:pPr>
    </w:p>
    <w:p w14:paraId="08D7738D" w14:textId="77777777" w:rsidR="00D95387" w:rsidRPr="00974048" w:rsidRDefault="00D95387" w:rsidP="00D95387">
      <w:pPr>
        <w:pStyle w:val="bellezanormal0"/>
        <w:rPr>
          <w:color w:val="000000" w:themeColor="text1"/>
        </w:rPr>
      </w:pPr>
      <w:r w:rsidRPr="00974048">
        <w:rPr>
          <w:color w:val="000000" w:themeColor="text1"/>
        </w:rPr>
        <w:t>cc:</w:t>
      </w:r>
    </w:p>
    <w:p w14:paraId="354EAE3E" w14:textId="7EFDF347" w:rsidR="009A68B5" w:rsidRPr="00974048" w:rsidRDefault="00C727A9" w:rsidP="009A68B5">
      <w:pPr>
        <w:tabs>
          <w:tab w:val="left" w:pos="5040"/>
        </w:tabs>
        <w:ind w:left="360"/>
        <w:rPr>
          <w:color w:val="000000" w:themeColor="text1"/>
        </w:rPr>
      </w:pPr>
      <w:r>
        <w:rPr>
          <w:color w:val="000000" w:themeColor="text1"/>
        </w:rPr>
        <w:t>A</w:t>
      </w:r>
      <w:r w:rsidR="009A68B5" w:rsidRPr="00974048">
        <w:rPr>
          <w:color w:val="000000" w:themeColor="text1"/>
        </w:rPr>
        <w:t>RRT</w:t>
      </w:r>
      <w:r w:rsidR="005174DA">
        <w:rPr>
          <w:color w:val="000000" w:themeColor="text1"/>
        </w:rPr>
        <w:t xml:space="preserve"> </w:t>
      </w:r>
      <w:r w:rsidR="009A68B5" w:rsidRPr="00974048">
        <w:rPr>
          <w:color w:val="000000" w:themeColor="text1"/>
        </w:rPr>
        <w:t>EPA</w:t>
      </w:r>
      <w:r w:rsidR="009A68B5">
        <w:rPr>
          <w:color w:val="000000" w:themeColor="text1"/>
        </w:rPr>
        <w:t xml:space="preserve"> </w:t>
      </w:r>
      <w:r>
        <w:rPr>
          <w:color w:val="000000" w:themeColor="text1"/>
        </w:rPr>
        <w:t>Tri</w:t>
      </w:r>
      <w:r w:rsidR="009A68B5" w:rsidRPr="00974048">
        <w:rPr>
          <w:color w:val="000000" w:themeColor="text1"/>
        </w:rPr>
        <w:t>-</w:t>
      </w:r>
      <w:r>
        <w:rPr>
          <w:color w:val="000000" w:themeColor="text1"/>
        </w:rPr>
        <w:t>C</w:t>
      </w:r>
      <w:r w:rsidR="009A68B5" w:rsidRPr="00974048">
        <w:rPr>
          <w:color w:val="000000" w:themeColor="text1"/>
        </w:rPr>
        <w:t>hair</w:t>
      </w:r>
      <w:r w:rsidR="009A68B5" w:rsidRPr="00974048">
        <w:rPr>
          <w:color w:val="000000" w:themeColor="text1"/>
        </w:rPr>
        <w:tab/>
      </w:r>
      <w:r w:rsidR="005174DA">
        <w:rPr>
          <w:color w:val="000000" w:themeColor="text1"/>
        </w:rPr>
        <w:t>A</w:t>
      </w:r>
      <w:r w:rsidR="009A68B5" w:rsidRPr="00974048">
        <w:rPr>
          <w:color w:val="000000" w:themeColor="text1"/>
        </w:rPr>
        <w:t xml:space="preserve">RRT US Coast Guard </w:t>
      </w:r>
      <w:r>
        <w:rPr>
          <w:color w:val="000000" w:themeColor="text1"/>
        </w:rPr>
        <w:t>Tri</w:t>
      </w:r>
      <w:r w:rsidR="009A68B5" w:rsidRPr="00974048">
        <w:rPr>
          <w:color w:val="000000" w:themeColor="text1"/>
        </w:rPr>
        <w:t>-</w:t>
      </w:r>
      <w:r>
        <w:rPr>
          <w:color w:val="000000" w:themeColor="text1"/>
        </w:rPr>
        <w:t>C</w:t>
      </w:r>
      <w:r w:rsidR="009A68B5" w:rsidRPr="00974048">
        <w:rPr>
          <w:color w:val="000000" w:themeColor="text1"/>
        </w:rPr>
        <w:t>hair</w:t>
      </w:r>
    </w:p>
    <w:p w14:paraId="267F60CF" w14:textId="77777777" w:rsidR="009A68B5" w:rsidRPr="00974048" w:rsidRDefault="009A68B5" w:rsidP="009A68B5">
      <w:pPr>
        <w:tabs>
          <w:tab w:val="left" w:pos="5040"/>
        </w:tabs>
        <w:ind w:left="360"/>
        <w:rPr>
          <w:color w:val="000000" w:themeColor="text1"/>
        </w:rPr>
      </w:pPr>
      <w:r w:rsidRPr="00974048">
        <w:rPr>
          <w:color w:val="000000" w:themeColor="text1"/>
        </w:rPr>
        <w:t>Beth Sheldrake</w:t>
      </w:r>
      <w:r w:rsidRPr="00974048">
        <w:rPr>
          <w:color w:val="000000" w:themeColor="text1"/>
        </w:rPr>
        <w:tab/>
        <w:t xml:space="preserve">Capt. Brian </w:t>
      </w:r>
      <w:r>
        <w:rPr>
          <w:color w:val="000000" w:themeColor="text1"/>
        </w:rPr>
        <w:t>Meier</w:t>
      </w:r>
      <w:r w:rsidRPr="00974048">
        <w:rPr>
          <w:color w:val="000000" w:themeColor="text1"/>
        </w:rPr>
        <w:t xml:space="preserve"> </w:t>
      </w:r>
    </w:p>
    <w:p w14:paraId="7FB1A855" w14:textId="77777777" w:rsidR="009A68B5" w:rsidRDefault="009A68B5" w:rsidP="009A68B5">
      <w:pPr>
        <w:tabs>
          <w:tab w:val="left" w:pos="5040"/>
        </w:tabs>
        <w:ind w:left="360"/>
        <w:rPr>
          <w:color w:val="000000" w:themeColor="text1"/>
        </w:rPr>
      </w:pPr>
      <w:hyperlink r:id="rId9" w:history="1">
        <w:r w:rsidRPr="00793FE5">
          <w:rPr>
            <w:rStyle w:val="Hyperlink"/>
            <w:color w:val="000000" w:themeColor="text1"/>
          </w:rPr>
          <w:t>sheldrake.beth@epa.gov</w:t>
        </w:r>
      </w:hyperlink>
      <w:r w:rsidRPr="00793FE5">
        <w:rPr>
          <w:color w:val="000000" w:themeColor="text1"/>
        </w:rPr>
        <w:t xml:space="preserve">  </w:t>
      </w:r>
      <w:r w:rsidRPr="00793FE5">
        <w:rPr>
          <w:color w:val="000000" w:themeColor="text1"/>
        </w:rPr>
        <w:tab/>
      </w:r>
      <w:hyperlink r:id="rId10" w:history="1">
        <w:r w:rsidRPr="00793FE5">
          <w:rPr>
            <w:rStyle w:val="Hyperlink"/>
            <w:color w:val="000000" w:themeColor="text1"/>
          </w:rPr>
          <w:t>brian.a.meier@uscg.mil</w:t>
        </w:r>
      </w:hyperlink>
      <w:r w:rsidRPr="00793FE5">
        <w:rPr>
          <w:color w:val="000000" w:themeColor="text1"/>
        </w:rPr>
        <w:t xml:space="preserve"> </w:t>
      </w:r>
    </w:p>
    <w:p w14:paraId="485DC7D8" w14:textId="77777777" w:rsidR="00C727A9" w:rsidRDefault="00C727A9" w:rsidP="009A68B5">
      <w:pPr>
        <w:tabs>
          <w:tab w:val="left" w:pos="5040"/>
        </w:tabs>
        <w:ind w:left="360"/>
        <w:rPr>
          <w:color w:val="000000" w:themeColor="text1"/>
        </w:rPr>
      </w:pPr>
    </w:p>
    <w:p w14:paraId="0F2EE24A" w14:textId="77777777" w:rsidR="003B5E43" w:rsidRDefault="003B5E43" w:rsidP="003B5E43">
      <w:pPr>
        <w:tabs>
          <w:tab w:val="left" w:pos="5040"/>
        </w:tabs>
        <w:ind w:left="360"/>
        <w:rPr>
          <w:color w:val="000000" w:themeColor="text1"/>
        </w:rPr>
      </w:pPr>
      <w:r>
        <w:rPr>
          <w:color w:val="000000" w:themeColor="text1"/>
        </w:rPr>
        <w:t>ARRT EPA Coordinator</w:t>
      </w:r>
      <w:r>
        <w:rPr>
          <w:color w:val="000000" w:themeColor="text1"/>
        </w:rPr>
        <w:tab/>
        <w:t>ARRT US Coast Guard Tri-Chair alternative</w:t>
      </w:r>
    </w:p>
    <w:p w14:paraId="14ABDD3E" w14:textId="77777777" w:rsidR="003B5E43" w:rsidRDefault="003B5E43" w:rsidP="003B5E43">
      <w:pPr>
        <w:tabs>
          <w:tab w:val="left" w:pos="5040"/>
        </w:tabs>
        <w:ind w:left="360"/>
        <w:rPr>
          <w:color w:val="000000" w:themeColor="text1"/>
        </w:rPr>
      </w:pPr>
      <w:r>
        <w:rPr>
          <w:color w:val="000000" w:themeColor="text1"/>
        </w:rPr>
        <w:t>Mary Goolie</w:t>
      </w:r>
      <w:r>
        <w:rPr>
          <w:color w:val="000000" w:themeColor="text1"/>
        </w:rPr>
        <w:tab/>
        <w:t>James McFerran</w:t>
      </w:r>
    </w:p>
    <w:p w14:paraId="20535B62" w14:textId="77777777" w:rsidR="003B5E43" w:rsidRPr="005174DA" w:rsidRDefault="003B5E43" w:rsidP="003B5E43">
      <w:pPr>
        <w:tabs>
          <w:tab w:val="left" w:pos="5040"/>
        </w:tabs>
        <w:ind w:left="360"/>
        <w:rPr>
          <w:color w:val="000000" w:themeColor="text1"/>
        </w:rPr>
      </w:pPr>
      <w:hyperlink r:id="rId11" w:history="1">
        <w:r w:rsidRPr="003B5E43">
          <w:rPr>
            <w:rStyle w:val="Hyperlink"/>
            <w:color w:val="000000" w:themeColor="text1"/>
            <w:shd w:val="clear" w:color="auto" w:fill="FFFFFF"/>
          </w:rPr>
          <w:t>Goolie.Mary@epa.gov</w:t>
        </w:r>
      </w:hyperlink>
      <w:r w:rsidRPr="003B5E43">
        <w:rPr>
          <w:color w:val="000000" w:themeColor="text1"/>
          <w:shd w:val="clear" w:color="auto" w:fill="FFFFFF"/>
        </w:rPr>
        <w:t xml:space="preserve"> </w:t>
      </w:r>
      <w:r>
        <w:rPr>
          <w:color w:val="000000" w:themeColor="text1"/>
          <w:shd w:val="clear" w:color="auto" w:fill="FFFFFF"/>
        </w:rPr>
        <w:tab/>
      </w:r>
      <w:hyperlink r:id="rId12" w:history="1">
        <w:r w:rsidRPr="00326B9C">
          <w:rPr>
            <w:rStyle w:val="Hyperlink"/>
            <w:color w:val="000000" w:themeColor="text1"/>
            <w:shd w:val="clear" w:color="auto" w:fill="FFFFFF"/>
          </w:rPr>
          <w:t>james.c.mcferran@uscg.mil</w:t>
        </w:r>
      </w:hyperlink>
      <w:r w:rsidRPr="00326B9C">
        <w:rPr>
          <w:color w:val="000000" w:themeColor="text1"/>
          <w:sz w:val="26"/>
          <w:szCs w:val="26"/>
          <w:shd w:val="clear" w:color="auto" w:fill="FFFFFF"/>
        </w:rPr>
        <w:t xml:space="preserve"> </w:t>
      </w:r>
    </w:p>
    <w:p w14:paraId="38E5797F" w14:textId="77777777" w:rsidR="003B5E43" w:rsidRDefault="003B5E43" w:rsidP="003B5E43">
      <w:pPr>
        <w:spacing w:line="276" w:lineRule="auto"/>
        <w:contextualSpacing/>
      </w:pPr>
    </w:p>
    <w:p w14:paraId="187DF86A" w14:textId="1E6B8717" w:rsidR="00FC1D30" w:rsidRDefault="005174DA" w:rsidP="00FC1D30">
      <w:pPr>
        <w:tabs>
          <w:tab w:val="left" w:pos="5040"/>
        </w:tabs>
        <w:ind w:left="360"/>
        <w:rPr>
          <w:color w:val="000000" w:themeColor="text1"/>
        </w:rPr>
      </w:pPr>
      <w:r>
        <w:rPr>
          <w:color w:val="000000" w:themeColor="text1"/>
        </w:rPr>
        <w:t>A</w:t>
      </w:r>
      <w:r w:rsidR="00833ED4">
        <w:rPr>
          <w:color w:val="000000" w:themeColor="text1"/>
        </w:rPr>
        <w:t>R</w:t>
      </w:r>
      <w:r>
        <w:rPr>
          <w:color w:val="000000" w:themeColor="text1"/>
        </w:rPr>
        <w:t>RT</w:t>
      </w:r>
      <w:r w:rsidR="00FC1D30">
        <w:rPr>
          <w:color w:val="000000" w:themeColor="text1"/>
        </w:rPr>
        <w:t xml:space="preserve"> EPA Coordinator</w:t>
      </w:r>
      <w:r w:rsidR="00FC1D30">
        <w:rPr>
          <w:color w:val="000000" w:themeColor="text1"/>
        </w:rPr>
        <w:tab/>
      </w:r>
      <w:r>
        <w:rPr>
          <w:color w:val="000000" w:themeColor="text1"/>
        </w:rPr>
        <w:t>A</w:t>
      </w:r>
      <w:r w:rsidR="00FC1D30">
        <w:rPr>
          <w:color w:val="000000" w:themeColor="text1"/>
        </w:rPr>
        <w:t>RRT US Coast Guard Coordinator</w:t>
      </w:r>
    </w:p>
    <w:p w14:paraId="6ACE2064" w14:textId="26E4CDEB" w:rsidR="00FC1D30" w:rsidRDefault="00326414" w:rsidP="00D95387">
      <w:pPr>
        <w:tabs>
          <w:tab w:val="left" w:pos="5040"/>
        </w:tabs>
        <w:ind w:left="360"/>
        <w:rPr>
          <w:color w:val="000000" w:themeColor="text1"/>
        </w:rPr>
      </w:pPr>
      <w:r>
        <w:rPr>
          <w:color w:val="000000" w:themeColor="text1"/>
        </w:rPr>
        <w:t>Lori Muller</w:t>
      </w:r>
      <w:r w:rsidR="00770785">
        <w:rPr>
          <w:color w:val="000000" w:themeColor="text1"/>
        </w:rPr>
        <w:tab/>
      </w:r>
      <w:r>
        <w:rPr>
          <w:color w:val="000000" w:themeColor="text1"/>
        </w:rPr>
        <w:t>LT Jamie Waterman</w:t>
      </w:r>
    </w:p>
    <w:p w14:paraId="20EF0FDF" w14:textId="20C5FADB" w:rsidR="00342777" w:rsidRPr="00326414" w:rsidRDefault="00326414" w:rsidP="00D95387">
      <w:pPr>
        <w:tabs>
          <w:tab w:val="left" w:pos="5040"/>
        </w:tabs>
        <w:ind w:left="360"/>
        <w:rPr>
          <w:color w:val="000000" w:themeColor="text1"/>
        </w:rPr>
      </w:pPr>
      <w:hyperlink r:id="rId13" w:history="1">
        <w:r w:rsidRPr="00326414">
          <w:rPr>
            <w:rStyle w:val="Hyperlink"/>
            <w:color w:val="000000" w:themeColor="text1"/>
            <w:shd w:val="clear" w:color="auto" w:fill="FFFFFF"/>
          </w:rPr>
          <w:t>muller.lori@epa.gov</w:t>
        </w:r>
      </w:hyperlink>
      <w:r w:rsidRPr="00326414">
        <w:rPr>
          <w:color w:val="000000" w:themeColor="text1"/>
          <w:shd w:val="clear" w:color="auto" w:fill="FFFFFF"/>
        </w:rPr>
        <w:t xml:space="preserve"> </w:t>
      </w:r>
      <w:r w:rsidR="00342777" w:rsidRPr="00326414">
        <w:rPr>
          <w:color w:val="000000" w:themeColor="text1"/>
        </w:rPr>
        <w:tab/>
      </w:r>
      <w:hyperlink r:id="rId14" w:history="1">
        <w:r w:rsidRPr="004411CB">
          <w:rPr>
            <w:rStyle w:val="Hyperlink"/>
            <w:color w:val="000000" w:themeColor="text1"/>
            <w:shd w:val="clear" w:color="auto" w:fill="FFFFFF"/>
          </w:rPr>
          <w:t>jamie.n.waterman@uscg.mil</w:t>
        </w:r>
      </w:hyperlink>
    </w:p>
    <w:p w14:paraId="3D882006" w14:textId="77777777" w:rsidR="00342777" w:rsidRDefault="00342777" w:rsidP="00D95387">
      <w:pPr>
        <w:tabs>
          <w:tab w:val="left" w:pos="5040"/>
        </w:tabs>
        <w:ind w:left="360"/>
        <w:rPr>
          <w:color w:val="000000" w:themeColor="text1"/>
        </w:rPr>
      </w:pPr>
    </w:p>
    <w:p w14:paraId="72FB40B7" w14:textId="7EE6317A" w:rsidR="00D95387" w:rsidRDefault="00D95387" w:rsidP="00D95387">
      <w:pPr>
        <w:tabs>
          <w:tab w:val="left" w:pos="5040"/>
        </w:tabs>
        <w:ind w:left="360"/>
        <w:rPr>
          <w:color w:val="000000" w:themeColor="text1"/>
        </w:rPr>
      </w:pPr>
      <w:r>
        <w:rPr>
          <w:color w:val="000000" w:themeColor="text1"/>
        </w:rPr>
        <w:t>The ALERT Project</w:t>
      </w:r>
    </w:p>
    <w:p w14:paraId="2BEEAD49" w14:textId="77777777" w:rsidR="00D95387" w:rsidRDefault="00D95387" w:rsidP="00D95387">
      <w:pPr>
        <w:tabs>
          <w:tab w:val="left" w:pos="5040"/>
        </w:tabs>
        <w:ind w:left="360"/>
        <w:rPr>
          <w:color w:val="000000" w:themeColor="text1"/>
        </w:rPr>
      </w:pPr>
      <w:r>
        <w:rPr>
          <w:color w:val="000000" w:themeColor="text1"/>
        </w:rPr>
        <w:t>Dr. Riki Ott, Director</w:t>
      </w:r>
    </w:p>
    <w:p w14:paraId="7E7A8648" w14:textId="77777777" w:rsidR="00D95387" w:rsidRPr="00BF3F30" w:rsidRDefault="00D95387" w:rsidP="00D95387">
      <w:pPr>
        <w:tabs>
          <w:tab w:val="left" w:pos="5040"/>
        </w:tabs>
        <w:ind w:left="360"/>
        <w:rPr>
          <w:color w:val="000000" w:themeColor="text1"/>
        </w:rPr>
      </w:pPr>
      <w:hyperlink r:id="rId15" w:history="1">
        <w:r w:rsidRPr="00BF3F30">
          <w:rPr>
            <w:rStyle w:val="Hyperlink"/>
            <w:color w:val="000000" w:themeColor="text1"/>
          </w:rPr>
          <w:t>riki@alertprooject.org</w:t>
        </w:r>
      </w:hyperlink>
      <w:r w:rsidRPr="00BF3F30">
        <w:rPr>
          <w:color w:val="000000" w:themeColor="text1"/>
        </w:rPr>
        <w:t xml:space="preserve"> </w:t>
      </w:r>
    </w:p>
    <w:p w14:paraId="6C6BFF3F" w14:textId="77777777" w:rsidR="001B2E8A" w:rsidRPr="009E5CC2" w:rsidRDefault="001B2E8A" w:rsidP="00174C37">
      <w:pPr>
        <w:tabs>
          <w:tab w:val="left" w:pos="360"/>
          <w:tab w:val="left" w:pos="5040"/>
        </w:tabs>
        <w:rPr>
          <w:color w:val="000000" w:themeColor="text1"/>
        </w:rPr>
      </w:pPr>
    </w:p>
    <w:sectPr w:rsidR="001B2E8A" w:rsidRPr="009E5CC2">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58CC7" w14:textId="77777777" w:rsidR="00D15C57" w:rsidRDefault="00D15C57" w:rsidP="002E5D46">
      <w:r>
        <w:separator/>
      </w:r>
    </w:p>
  </w:endnote>
  <w:endnote w:type="continuationSeparator" w:id="0">
    <w:p w14:paraId="39B55003" w14:textId="77777777" w:rsidR="00D15C57" w:rsidRDefault="00D15C57" w:rsidP="002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390826"/>
      <w:docPartObj>
        <w:docPartGallery w:val="Page Numbers (Bottom of Page)"/>
        <w:docPartUnique/>
      </w:docPartObj>
    </w:sdtPr>
    <w:sdtContent>
      <w:p w14:paraId="4C1BE8C1" w14:textId="214E757F"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E37B5" w14:textId="77777777" w:rsidR="002E5D46" w:rsidRDefault="002E5D46" w:rsidP="002E5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906478"/>
      <w:docPartObj>
        <w:docPartGallery w:val="Page Numbers (Bottom of Page)"/>
        <w:docPartUnique/>
      </w:docPartObj>
    </w:sdtPr>
    <w:sdtContent>
      <w:p w14:paraId="09096C08" w14:textId="3D25E1FE"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2D2B0" w14:textId="77777777" w:rsidR="002E5D46" w:rsidRDefault="002E5D46" w:rsidP="002E5D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1FBFC" w14:textId="77777777" w:rsidR="00D15C57" w:rsidRDefault="00D15C57" w:rsidP="002E5D46">
      <w:r>
        <w:separator/>
      </w:r>
    </w:p>
  </w:footnote>
  <w:footnote w:type="continuationSeparator" w:id="0">
    <w:p w14:paraId="6EDAF24E" w14:textId="77777777" w:rsidR="00D15C57" w:rsidRDefault="00D15C57" w:rsidP="002E5D46">
      <w:r>
        <w:continuationSeparator/>
      </w:r>
    </w:p>
  </w:footnote>
  <w:footnote w:id="1">
    <w:p w14:paraId="47275EFF" w14:textId="45544C1F" w:rsidR="00AC6E4A" w:rsidRDefault="00AC6E4A">
      <w:pPr>
        <w:pStyle w:val="FootnoteText"/>
      </w:pPr>
      <w:r>
        <w:rPr>
          <w:rStyle w:val="FootnoteReference"/>
        </w:rPr>
        <w:footnoteRef/>
      </w:r>
      <w:r>
        <w:t xml:space="preserve"> </w:t>
      </w:r>
      <w:r w:rsidRPr="00492D92">
        <w:t xml:space="preserve">2018. U.S. Coast Guard Marine Environmental Response and Preparedness Manual. COMDTINST M16000.14A 26 Sept 2018. </w:t>
      </w:r>
      <w:hyperlink r:id="rId1" w:history="1">
        <w:r w:rsidRPr="003F23E6">
          <w:rPr>
            <w:rStyle w:val="Hyperlink"/>
            <w:color w:val="000000" w:themeColor="text1"/>
          </w:rPr>
          <w:t>https://media.defense.gov/2022/Nov/17/2003116850/-1/-1/0/CIM_16000_14A.PDF</w:t>
        </w:r>
      </w:hyperlink>
    </w:p>
  </w:footnote>
  <w:footnote w:id="2">
    <w:p w14:paraId="49C88672" w14:textId="6914F420" w:rsidR="006F68A8" w:rsidRDefault="006F68A8">
      <w:pPr>
        <w:pStyle w:val="FootnoteText"/>
      </w:pPr>
      <w:r>
        <w:rPr>
          <w:rStyle w:val="FootnoteReference"/>
        </w:rPr>
        <w:footnoteRef/>
      </w:r>
      <w:r>
        <w:t xml:space="preserve"> </w:t>
      </w:r>
      <w:r w:rsidRPr="0001250C">
        <w:rPr>
          <w:color w:val="000000" w:themeColor="text1"/>
        </w:rPr>
        <w:t xml:space="preserve">National Commission on BP Deepwater Horizon and Offshore Drilling. 2011. </w:t>
      </w:r>
      <w:r w:rsidRPr="0001250C">
        <w:rPr>
          <w:i/>
          <w:color w:val="000000" w:themeColor="text1"/>
        </w:rPr>
        <w:t>Deep Water: The Gulf Oil Disaster and the Future of Offshore Drilling. A Report to the President</w:t>
      </w:r>
      <w:r w:rsidRPr="0001250C">
        <w:rPr>
          <w:color w:val="000000" w:themeColor="text1"/>
        </w:rPr>
        <w:t xml:space="preserve">. </w:t>
      </w:r>
      <w:hyperlink r:id="rId2" w:history="1">
        <w:r w:rsidRPr="0001250C">
          <w:rPr>
            <w:rStyle w:val="Hyperlink"/>
            <w:rFonts w:ascii="Calibri" w:hAnsi="Calibri"/>
            <w:color w:val="000000" w:themeColor="text1"/>
          </w:rPr>
          <w:t>https://nrt.org/sites/2/files/GPO-OILCOMMISSION.pdf</w:t>
        </w:r>
      </w:hyperlink>
      <w:r w:rsidRPr="0001250C">
        <w:rPr>
          <w:color w:val="000000" w:themeColor="text1"/>
        </w:rPr>
        <w:t xml:space="preserve">. </w:t>
      </w:r>
      <w:r w:rsidR="00CA406E">
        <w:rPr>
          <w:color w:val="000000" w:themeColor="text1"/>
        </w:rPr>
        <w:t>Recommendation E3, a</w:t>
      </w:r>
      <w:r w:rsidRPr="0001250C">
        <w:rPr>
          <w:color w:val="000000" w:themeColor="text1"/>
        </w:rPr>
        <w:t>t 139.</w:t>
      </w:r>
    </w:p>
  </w:footnote>
  <w:footnote w:id="3">
    <w:p w14:paraId="70846669" w14:textId="77777777" w:rsidR="00CA406E" w:rsidRPr="008469E9" w:rsidRDefault="00CA406E" w:rsidP="00CA406E">
      <w:pPr>
        <w:pStyle w:val="FootnoteText"/>
        <w:rPr>
          <w:color w:val="000000" w:themeColor="text1"/>
        </w:rPr>
      </w:pPr>
      <w:r w:rsidRPr="008469E9">
        <w:rPr>
          <w:rStyle w:val="FootnoteReference"/>
          <w:color w:val="000000" w:themeColor="text1"/>
        </w:rPr>
        <w:footnoteRef/>
      </w:r>
      <w:r w:rsidRPr="008469E9">
        <w:rPr>
          <w:color w:val="000000" w:themeColor="text1"/>
        </w:rPr>
        <w:t xml:space="preserve"> National Response Team, 2012. Emergency Responder Health Monitoring and Surveillance (ERHMS) Technical Assistance Document, 1/26/2012. </w:t>
      </w:r>
      <w:hyperlink r:id="rId3" w:history="1">
        <w:r w:rsidRPr="008469E9">
          <w:rPr>
            <w:rStyle w:val="Hyperlink"/>
            <w:color w:val="000000" w:themeColor="text1"/>
          </w:rPr>
          <w:t>https://www.nrt.org/sites/2/files/ERHMS_Final_060512.pdf</w:t>
        </w:r>
      </w:hyperlink>
    </w:p>
  </w:footnote>
  <w:footnote w:id="4">
    <w:p w14:paraId="1EE176DF" w14:textId="70F93DA8" w:rsidR="0082604F" w:rsidRPr="0001250C" w:rsidRDefault="0082604F" w:rsidP="0082604F">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9547B8" w:rsidRPr="0001250C">
        <w:rPr>
          <w:rFonts w:cs="Calibri"/>
          <w:color w:val="000000" w:themeColor="text1"/>
        </w:rPr>
        <w:t>Regional Response Team 10</w:t>
      </w:r>
      <w:r w:rsidR="009547B8">
        <w:rPr>
          <w:rFonts w:cs="Calibri"/>
          <w:color w:val="000000" w:themeColor="text1"/>
        </w:rPr>
        <w:t xml:space="preserve"> and </w:t>
      </w:r>
      <w:r w:rsidR="009547B8" w:rsidRPr="0001250C">
        <w:rPr>
          <w:rFonts w:cs="Calibri"/>
          <w:color w:val="000000" w:themeColor="text1"/>
        </w:rPr>
        <w:t xml:space="preserve">Northwest Area Committee, 2024. </w:t>
      </w:r>
      <w:r w:rsidR="009547B8">
        <w:rPr>
          <w:rFonts w:cs="Calibri"/>
          <w:color w:val="000000" w:themeColor="text1"/>
        </w:rPr>
        <w:t>Final r</w:t>
      </w:r>
      <w:r w:rsidR="009547B8" w:rsidRPr="0001250C">
        <w:rPr>
          <w:rFonts w:cs="Calibri"/>
          <w:color w:val="000000" w:themeColor="text1"/>
        </w:rPr>
        <w:t>eport of the 2023 Health and Safety Task Force.</w:t>
      </w:r>
      <w:r w:rsidR="009547B8">
        <w:rPr>
          <w:rFonts w:cs="Calibri"/>
          <w:color w:val="000000" w:themeColor="text1"/>
        </w:rPr>
        <w:t xml:space="preserve"> March.</w:t>
      </w:r>
      <w:r w:rsidR="009547B8" w:rsidRPr="0001250C">
        <w:rPr>
          <w:rFonts w:cs="Calibri"/>
          <w:color w:val="000000" w:themeColor="text1"/>
        </w:rPr>
        <w:t xml:space="preserve"> </w:t>
      </w:r>
      <w:hyperlink r:id="rId4" w:history="1">
        <w:r w:rsidR="009547B8" w:rsidRPr="0001250C">
          <w:rPr>
            <w:rStyle w:val="Hyperlink"/>
            <w:color w:val="000000" w:themeColor="text1"/>
          </w:rPr>
          <w:t>https://www.rrt10nwac.com/</w:t>
        </w:r>
      </w:hyperlink>
      <w:r w:rsidR="009547B8" w:rsidRPr="0001250C">
        <w:rPr>
          <w:rStyle w:val="Hyperlink"/>
          <w:color w:val="000000" w:themeColor="text1"/>
        </w:rPr>
        <w:t xml:space="preserve"> </w:t>
      </w:r>
      <w:r w:rsidRPr="009547B8">
        <w:rPr>
          <w:rStyle w:val="Hyperlink"/>
          <w:color w:val="000000" w:themeColor="text1"/>
        </w:rPr>
        <w:t xml:space="preserve">  </w:t>
      </w:r>
    </w:p>
  </w:footnote>
  <w:footnote w:id="5">
    <w:p w14:paraId="2E26A2A9" w14:textId="4D891606" w:rsidR="00980257" w:rsidRPr="0001250C" w:rsidRDefault="002868F0" w:rsidP="00980257">
      <w:pPr>
        <w:pStyle w:val="FootnoteText"/>
        <w:rPr>
          <w:color w:val="000000" w:themeColor="text1"/>
        </w:rPr>
      </w:pPr>
      <w:r w:rsidRPr="0001250C">
        <w:rPr>
          <w:rStyle w:val="FootnoteReference"/>
          <w:color w:val="000000" w:themeColor="text1"/>
        </w:rPr>
        <w:footnoteRef/>
      </w:r>
      <w:r w:rsidRPr="0001250C">
        <w:rPr>
          <w:color w:val="000000" w:themeColor="text1"/>
        </w:rPr>
        <w:t xml:space="preserve"> The 2023 Health and Safety Task Force also recommended systemic revisions to the OSHA HAZWOPER regs and the Washington State Code for emergency responders to support symptom-based exposure assessment and health monitoring. Suggested language is in Appendices F and G, respectively.</w:t>
      </w:r>
    </w:p>
  </w:footnote>
  <w:footnote w:id="6">
    <w:p w14:paraId="36AC0CDF" w14:textId="0510F3B4" w:rsidR="0082604F" w:rsidRDefault="0082604F">
      <w:pPr>
        <w:pStyle w:val="FootnoteText"/>
      </w:pPr>
      <w:r>
        <w:rPr>
          <w:rStyle w:val="FootnoteReference"/>
        </w:rPr>
        <w:footnoteRef/>
      </w:r>
      <w:r>
        <w:t xml:space="preserve"> </w:t>
      </w:r>
      <w:r w:rsidR="00980257">
        <w:t>If</w:t>
      </w:r>
      <w:r>
        <w:t xml:space="preserve"> some of this material move</w:t>
      </w:r>
      <w:r w:rsidR="00980257">
        <w:t>s</w:t>
      </w:r>
      <w:r>
        <w:t xml:space="preserve"> to RCPs during the reorganization process, the</w:t>
      </w:r>
      <w:r w:rsidRPr="00981F59">
        <w:t xml:space="preserve"> </w:t>
      </w:r>
      <w:r>
        <w:t>ACPs</w:t>
      </w:r>
      <w:r w:rsidRPr="00981F59">
        <w:t xml:space="preserve"> </w:t>
      </w:r>
      <w:r>
        <w:t>will</w:t>
      </w:r>
      <w:r w:rsidRPr="00981F59">
        <w:t xml:space="preserve"> need to reference the RCP</w:t>
      </w:r>
      <w:r>
        <w:t>s</w:t>
      </w:r>
      <w:r w:rsidRPr="00981F59">
        <w:t xml:space="preserve"> and have enough content </w:t>
      </w:r>
      <w:r>
        <w:t>into</w:t>
      </w:r>
      <w:r w:rsidRPr="00981F59">
        <w:t xml:space="preserve"> them </w:t>
      </w:r>
      <w:r>
        <w:t xml:space="preserve">to alert state lead agencies </w:t>
      </w:r>
      <w:r w:rsidRPr="00981F59">
        <w:t xml:space="preserve">that the policy exists and where </w:t>
      </w:r>
      <w:r>
        <w:t>the agencies can</w:t>
      </w:r>
      <w:r w:rsidRPr="00981F59">
        <w:t xml:space="preserve"> get the tools and resources to </w:t>
      </w:r>
      <w:r>
        <w:t>implement these updates.</w:t>
      </w:r>
    </w:p>
  </w:footnote>
  <w:footnote w:id="7">
    <w:p w14:paraId="3A4D8A42" w14:textId="1141A17B" w:rsidR="006F68A8" w:rsidRDefault="006F68A8">
      <w:pPr>
        <w:pStyle w:val="FootnoteText"/>
      </w:pPr>
      <w:r>
        <w:rPr>
          <w:rStyle w:val="FootnoteReference"/>
        </w:rPr>
        <w:footnoteRef/>
      </w:r>
      <w:r>
        <w:t xml:space="preserve"> See note </w:t>
      </w:r>
      <w:r w:rsidR="00980257">
        <w:t>4</w:t>
      </w:r>
      <w:r>
        <w:t xml:space="preserve">, </w:t>
      </w:r>
      <w:r w:rsidR="00980257">
        <w:t>Final report of the 2023 Health and Safety Task Force for more information.</w:t>
      </w:r>
    </w:p>
  </w:footnote>
  <w:footnote w:id="8">
    <w:p w14:paraId="24C996C1" w14:textId="77777777" w:rsidR="0064788F" w:rsidRPr="008469E9" w:rsidRDefault="0064788F" w:rsidP="0064788F">
      <w:pPr>
        <w:pStyle w:val="2BFootnoteleveltext"/>
        <w:rPr>
          <w:i/>
          <w:iCs/>
        </w:rPr>
      </w:pPr>
      <w:r w:rsidRPr="008469E9">
        <w:rPr>
          <w:rStyle w:val="FootnoteReference"/>
        </w:rPr>
        <w:footnoteRef/>
      </w:r>
      <w:r w:rsidRPr="008469E9">
        <w:t xml:space="preserve"> Masri S, et al., 2021. Toxicant-induced loss of tolerance for chemicals, foods, and drugs: Assessing patterns of exposure behind a global phenomenon. </w:t>
      </w:r>
      <w:r w:rsidRPr="008469E9">
        <w:rPr>
          <w:i/>
          <w:iCs/>
        </w:rPr>
        <w:t xml:space="preserve">Environ Sci Eur </w:t>
      </w:r>
      <w:r w:rsidRPr="008469E9">
        <w:t xml:space="preserve">33:65. </w:t>
      </w:r>
      <w:hyperlink r:id="rId5" w:history="1">
        <w:r w:rsidRPr="008469E9">
          <w:rPr>
            <w:rStyle w:val="Hyperlink"/>
            <w:color w:val="000000" w:themeColor="text1"/>
          </w:rPr>
          <w:t>https://doi.org/10.1186/s12302-021-00504-z</w:t>
        </w:r>
      </w:hyperlink>
    </w:p>
    <w:p w14:paraId="64A92C7F" w14:textId="77777777" w:rsidR="0064788F" w:rsidRPr="008469E9" w:rsidRDefault="0064788F" w:rsidP="0064788F">
      <w:pPr>
        <w:pStyle w:val="2BFootnoteleveltext"/>
        <w:ind w:left="270" w:hanging="173"/>
        <w:rPr>
          <w:u w:val="single"/>
        </w:rPr>
      </w:pPr>
      <w:r w:rsidRPr="008469E9">
        <w:t>Miller CS, Palmer RF, Dempsey TT, </w:t>
      </w:r>
      <w:r w:rsidRPr="008469E9">
        <w:rPr>
          <w:i/>
          <w:iCs/>
        </w:rPr>
        <w:t>et al.</w:t>
      </w:r>
      <w:r w:rsidRPr="008469E9">
        <w:t> 2021. Mast cell activation may explain many cases of chemical intolerance. </w:t>
      </w:r>
      <w:r w:rsidRPr="008469E9">
        <w:rPr>
          <w:i/>
          <w:iCs/>
        </w:rPr>
        <w:t>Environ Sci Eur.</w:t>
      </w:r>
      <w:r w:rsidRPr="008469E9">
        <w:t> 33, 129. </w:t>
      </w:r>
      <w:hyperlink r:id="rId6" w:tgtFrame="_blank" w:history="1">
        <w:r w:rsidRPr="008469E9">
          <w:rPr>
            <w:rStyle w:val="Hyperlink"/>
            <w:color w:val="000000" w:themeColor="text1"/>
          </w:rPr>
          <w:t>https://doi.org/10.1186/s12302-021-00570-3</w:t>
        </w:r>
      </w:hyperlink>
    </w:p>
  </w:footnote>
  <w:footnote w:id="9">
    <w:p w14:paraId="491D01CB" w14:textId="5D995859" w:rsidR="0064788F" w:rsidRPr="008469E9" w:rsidRDefault="0064788F" w:rsidP="0064788F">
      <w:pPr>
        <w:pStyle w:val="FootnoteText"/>
        <w:rPr>
          <w:color w:val="000000" w:themeColor="text1"/>
        </w:rPr>
      </w:pPr>
      <w:r w:rsidRPr="008469E9">
        <w:rPr>
          <w:rStyle w:val="FootnoteReference"/>
          <w:color w:val="000000" w:themeColor="text1"/>
        </w:rPr>
        <w:footnoteRef/>
      </w:r>
      <w:r w:rsidRPr="008469E9">
        <w:rPr>
          <w:color w:val="000000" w:themeColor="text1"/>
        </w:rPr>
        <w:t xml:space="preserve"> Hoffman Program</w:t>
      </w:r>
      <w:r w:rsidR="00980257">
        <w:rPr>
          <w:color w:val="000000" w:themeColor="text1"/>
        </w:rPr>
        <w:t xml:space="preserve"> for Chemical Intolerance</w:t>
      </w:r>
      <w:r w:rsidRPr="008469E9">
        <w:rPr>
          <w:color w:val="000000" w:themeColor="text1"/>
        </w:rPr>
        <w:t xml:space="preserve">. Online. University of Texas Health–San Antonio. Chemical intolerance self-assessment. </w:t>
      </w:r>
      <w:hyperlink r:id="rId7" w:history="1">
        <w:r w:rsidRPr="008469E9">
          <w:rPr>
            <w:rStyle w:val="Hyperlink"/>
            <w:color w:val="000000" w:themeColor="text1"/>
          </w:rPr>
          <w:t>https://tiltresearch.org/self-assessment/</w:t>
        </w:r>
      </w:hyperlink>
      <w:r w:rsidRPr="008469E9">
        <w:rPr>
          <w:color w:val="000000" w:themeColor="text1"/>
        </w:rPr>
        <w:t xml:space="preserve">   </w:t>
      </w:r>
    </w:p>
  </w:footnote>
  <w:footnote w:id="10">
    <w:p w14:paraId="394A5908" w14:textId="01BABC2B" w:rsidR="000A2285" w:rsidRDefault="000A2285">
      <w:pPr>
        <w:pStyle w:val="FootnoteText"/>
      </w:pPr>
      <w:r>
        <w:rPr>
          <w:rStyle w:val="FootnoteReference"/>
        </w:rPr>
        <w:footnoteRef/>
      </w:r>
      <w:r>
        <w:t xml:space="preserve"> </w:t>
      </w:r>
      <w:r w:rsidRPr="0001250C">
        <w:rPr>
          <w:color w:val="000000" w:themeColor="text1"/>
        </w:rPr>
        <w:t xml:space="preserve">The ALERT Project and the Government Accountability Project, 2024. Petition requesting EPA to remove Corexit 9527A and Corexit 9500A from the NCP Product Schedule pursuant to 40 CFR § 300.970. </w:t>
      </w:r>
      <w:hyperlink r:id="rId8" w:history="1">
        <w:r w:rsidRPr="0001250C">
          <w:rPr>
            <w:rStyle w:val="Hyperlink"/>
            <w:color w:val="000000" w:themeColor="text1"/>
          </w:rPr>
          <w:t>https://alertproject.org/wp-content/uploads/2024/08/EPA-DELIST-petition-FINAL.pdf</w:t>
        </w:r>
      </w:hyperlink>
    </w:p>
  </w:footnote>
  <w:footnote w:id="11">
    <w:p w14:paraId="6379D3C1" w14:textId="52059C41" w:rsidR="000A2285" w:rsidRPr="0001250C" w:rsidRDefault="000A2285" w:rsidP="000A2285">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E62D3A">
        <w:rPr>
          <w:color w:val="000000" w:themeColor="text1"/>
        </w:rPr>
        <w:t xml:space="preserve">Ibid. </w:t>
      </w:r>
      <w:r w:rsidRPr="0001250C">
        <w:rPr>
          <w:color w:val="000000" w:themeColor="text1"/>
        </w:rPr>
        <w:t xml:space="preserve">The manufacturer of Corexit products discontinued making and selling </w:t>
      </w:r>
      <w:r w:rsidR="00E62D3A">
        <w:rPr>
          <w:color w:val="000000" w:themeColor="text1"/>
        </w:rPr>
        <w:t>its</w:t>
      </w:r>
      <w:r w:rsidRPr="0001250C">
        <w:rPr>
          <w:color w:val="000000" w:themeColor="text1"/>
        </w:rPr>
        <w:t xml:space="preserve"> dispersants in November 2022, </w:t>
      </w:r>
      <w:r w:rsidR="00E62D3A">
        <w:rPr>
          <w:color w:val="000000" w:themeColor="text1"/>
        </w:rPr>
        <w:t xml:space="preserve">likely to avoid </w:t>
      </w:r>
      <w:r w:rsidRPr="0001250C">
        <w:rPr>
          <w:color w:val="000000" w:themeColor="text1"/>
        </w:rPr>
        <w:t>truthfully report</w:t>
      </w:r>
      <w:r w:rsidR="00E62D3A">
        <w:rPr>
          <w:color w:val="000000" w:themeColor="text1"/>
        </w:rPr>
        <w:t>ing</w:t>
      </w:r>
      <w:r w:rsidRPr="0001250C">
        <w:rPr>
          <w:color w:val="000000" w:themeColor="text1"/>
        </w:rPr>
        <w:t xml:space="preserve"> </w:t>
      </w:r>
      <w:r w:rsidR="00E62D3A">
        <w:rPr>
          <w:color w:val="000000" w:themeColor="text1"/>
        </w:rPr>
        <w:t xml:space="preserve">of </w:t>
      </w:r>
      <w:r w:rsidRPr="0001250C">
        <w:rPr>
          <w:color w:val="000000" w:themeColor="text1"/>
        </w:rPr>
        <w:t>known or anticipated human health impacts of its products</w:t>
      </w:r>
      <w:r w:rsidR="00E62D3A">
        <w:rPr>
          <w:color w:val="000000" w:themeColor="text1"/>
        </w:rPr>
        <w:t xml:space="preserve"> under EPA’s new rule promulgated in June 2023</w:t>
      </w:r>
      <w:r w:rsidRPr="0001250C">
        <w:rPr>
          <w:color w:val="000000" w:themeColor="text1"/>
        </w:rPr>
        <w:t xml:space="preserve">. See </w:t>
      </w:r>
      <w:r w:rsidRPr="0001250C">
        <w:rPr>
          <w:rFonts w:cs="Times New Roman"/>
          <w:color w:val="000000" w:themeColor="text1"/>
          <w:kern w:val="2"/>
          <w14:ligatures w14:val="standardContextual"/>
        </w:rPr>
        <w:t xml:space="preserve">Corexit </w:t>
      </w:r>
      <w:r w:rsidRPr="0001250C">
        <w:rPr>
          <w:color w:val="000000" w:themeColor="text1"/>
        </w:rPr>
        <w:t>Environmental Solutions</w:t>
      </w:r>
      <w:r w:rsidRPr="0001250C">
        <w:rPr>
          <w:rFonts w:cs="Times New Roman"/>
          <w:color w:val="000000" w:themeColor="text1"/>
          <w:kern w:val="2"/>
          <w14:ligatures w14:val="standardContextual"/>
        </w:rPr>
        <w:t xml:space="preserve">. Announcement. January 20, 2023. </w:t>
      </w:r>
      <w:hyperlink r:id="rId9" w:history="1">
        <w:r w:rsidRPr="00E62D3A">
          <w:rPr>
            <w:rStyle w:val="Hyperlink"/>
            <w:color w:val="000000" w:themeColor="text1"/>
            <w:shd w:val="clear" w:color="auto" w:fill="FFFFFF"/>
          </w:rPr>
          <w:t>https://alertproject.org/wp-content/uploads/2024/04/corexitenviro.pdf</w:t>
        </w:r>
      </w:hyperlink>
    </w:p>
  </w:footnote>
  <w:footnote w:id="12">
    <w:p w14:paraId="64B7EC36" w14:textId="7F93898D" w:rsidR="008C26BD" w:rsidRPr="008469E9" w:rsidRDefault="008C26BD" w:rsidP="008C26BD">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See note 2, </w:t>
      </w:r>
      <w:r w:rsidR="00971ECE" w:rsidRPr="008469E9">
        <w:rPr>
          <w:color w:val="000000" w:themeColor="text1"/>
        </w:rPr>
        <w:t>National Commission</w:t>
      </w:r>
      <w:r w:rsidR="00601C51">
        <w:rPr>
          <w:color w:val="000000" w:themeColor="text1"/>
        </w:rPr>
        <w:t>, 2011, at</w:t>
      </w:r>
      <w:r w:rsidR="00971ECE" w:rsidRPr="008469E9">
        <w:rPr>
          <w:color w:val="000000" w:themeColor="text1"/>
        </w:rPr>
        <w:t xml:space="preserve"> </w:t>
      </w:r>
      <w:r w:rsidRPr="008469E9">
        <w:rPr>
          <w:color w:val="000000" w:themeColor="text1"/>
        </w:rPr>
        <w:t>26</w:t>
      </w:r>
      <w:r w:rsidR="001C581E" w:rsidRPr="008469E9">
        <w:rPr>
          <w:color w:val="000000" w:themeColor="text1"/>
        </w:rPr>
        <w:t>5</w:t>
      </w:r>
      <w:r w:rsidR="00601C51">
        <w:rPr>
          <w:color w:val="000000" w:themeColor="text1"/>
        </w:rPr>
        <w:t>.</w:t>
      </w:r>
    </w:p>
  </w:footnote>
  <w:footnote w:id="13">
    <w:p w14:paraId="1D916AD2" w14:textId="151EB8E2" w:rsidR="00601C51" w:rsidRPr="008469E9" w:rsidRDefault="00B82479" w:rsidP="00601C51">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Ibid., </w:t>
      </w:r>
      <w:r w:rsidRPr="008469E9">
        <w:rPr>
          <w:color w:val="000000" w:themeColor="text1"/>
        </w:rPr>
        <w:t>at 26</w:t>
      </w:r>
      <w:r w:rsidR="001C581E" w:rsidRPr="008469E9">
        <w:rPr>
          <w:color w:val="000000" w:themeColor="text1"/>
        </w:rPr>
        <w:t>8–269</w:t>
      </w:r>
      <w:r w:rsidR="00601C51">
        <w:rPr>
          <w:color w:val="000000" w:themeColor="text1"/>
        </w:rPr>
        <w:t xml:space="preserve">, citing authority in </w:t>
      </w:r>
      <w:r w:rsidR="00601C51" w:rsidRPr="008469E9">
        <w:rPr>
          <w:color w:val="000000" w:themeColor="text1"/>
        </w:rPr>
        <w:t>33 USC § 1321</w:t>
      </w:r>
      <w:r w:rsidR="00601C51">
        <w:rPr>
          <w:color w:val="000000" w:themeColor="text1"/>
        </w:rPr>
        <w:t>.</w:t>
      </w:r>
    </w:p>
  </w:footnote>
  <w:footnote w:id="14">
    <w:p w14:paraId="0F2701FA" w14:textId="3CBE1FAE"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For more information on the history and function of ACPs and Regional Citizens’ Advisory Councils, see ALERT, 2024, An Opportunity to Make It Right. Relating to the Policy and Science of Oil Spills, Dispersant Use, and Human Health</w:t>
      </w:r>
      <w:r>
        <w:rPr>
          <w:color w:val="000000" w:themeColor="text1"/>
        </w:rPr>
        <w:t>, at 28–39</w:t>
      </w:r>
      <w:r w:rsidRPr="0001250C">
        <w:rPr>
          <w:color w:val="000000" w:themeColor="text1"/>
        </w:rPr>
        <w:t xml:space="preserve">. </w:t>
      </w:r>
      <w:hyperlink r:id="rId10" w:history="1">
        <w:r w:rsidRPr="0001250C">
          <w:rPr>
            <w:rStyle w:val="Hyperlink"/>
            <w:color w:val="000000" w:themeColor="text1"/>
          </w:rPr>
          <w:t>https://alertproject.org/wp-content/uploads/2024/02/ALERT240212-Opportunity-FINALrev.pdf</w:t>
        </w:r>
      </w:hyperlink>
    </w:p>
  </w:footnote>
  <w:footnote w:id="15">
    <w:p w14:paraId="6683814D" w14:textId="77777777"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2732(d)(6).</w:t>
      </w:r>
    </w:p>
  </w:footnote>
  <w:footnote w:id="16">
    <w:p w14:paraId="59D6CB2C" w14:textId="54509277" w:rsidR="000654AE" w:rsidRPr="0001250C" w:rsidRDefault="000654AE" w:rsidP="000654AE">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Pr>
          <w:color w:val="000000" w:themeColor="text1"/>
        </w:rPr>
        <w:t xml:space="preserve">See note 2, </w:t>
      </w:r>
      <w:r w:rsidRPr="0001250C">
        <w:rPr>
          <w:color w:val="000000" w:themeColor="text1"/>
        </w:rPr>
        <w:t>National Commission</w:t>
      </w:r>
      <w:r>
        <w:rPr>
          <w:color w:val="000000" w:themeColor="text1"/>
        </w:rPr>
        <w:t>, at 133.</w:t>
      </w:r>
      <w:r w:rsidRPr="0001250C">
        <w:rPr>
          <w:color w:val="000000" w:themeColor="text1"/>
        </w:rPr>
        <w:t xml:space="preserve"> </w:t>
      </w:r>
      <w:r>
        <w:rPr>
          <w:color w:val="000000" w:themeColor="text1"/>
        </w:rPr>
        <w:t>The Commission</w:t>
      </w:r>
      <w:r w:rsidRPr="0001250C">
        <w:rPr>
          <w:color w:val="000000" w:themeColor="text1"/>
        </w:rPr>
        <w:t xml:space="preserve"> described BP’s response capacity as “underwhelming” and “embarrassing,” the latter in reference to the listing of Gulf walruses and seals as species of concern in its </w:t>
      </w:r>
      <w:r w:rsidRPr="000A78FF">
        <w:rPr>
          <w:color w:val="000000" w:themeColor="text1"/>
          <w:u w:val="single"/>
        </w:rPr>
        <w:t>clearly unreviewed and rubber-stamped</w:t>
      </w:r>
      <w:r w:rsidRPr="0001250C">
        <w:rPr>
          <w:color w:val="000000" w:themeColor="text1"/>
        </w:rPr>
        <w:t xml:space="preserve"> contingency plan</w:t>
      </w:r>
      <w:r w:rsidR="000A78FF">
        <w:rPr>
          <w:color w:val="000000" w:themeColor="text1"/>
        </w:rPr>
        <w:t>s</w:t>
      </w:r>
      <w:r w:rsidRPr="0001250C">
        <w:rPr>
          <w:color w:val="000000" w:themeColor="text1"/>
        </w:rPr>
        <w:t>.</w:t>
      </w:r>
    </w:p>
  </w:footnote>
  <w:footnote w:id="17">
    <w:p w14:paraId="026B02B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2732(d)(2)(B). Non-voting members.</w:t>
      </w:r>
    </w:p>
  </w:footnote>
  <w:footnote w:id="18">
    <w:p w14:paraId="5E546180"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2732(d)(4). Self-governing.</w:t>
      </w:r>
    </w:p>
  </w:footnote>
  <w:footnote w:id="19">
    <w:p w14:paraId="662D53BA"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2732(d)(5). Dual membership and conflicts of interest prohibited.</w:t>
      </w:r>
    </w:p>
  </w:footnote>
  <w:footnote w:id="20">
    <w:p w14:paraId="73F1EA72"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See note 2, COMDTINST M16000.14A 26, Chapter 4, Area Contingency Planning Policy: B.4. Area Committee Composition and Membership, at 4-2 (prohibits industry representatives…).</w:t>
      </w:r>
    </w:p>
  </w:footnote>
  <w:footnote w:id="21">
    <w:p w14:paraId="22BC1C7D"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Ibid. Chapter 4, B.6. Establishment of Subcommittees, at 4-3 (allows industry members), at 4-2, quote at (b).</w:t>
      </w:r>
    </w:p>
  </w:footnote>
  <w:footnote w:id="22">
    <w:p w14:paraId="259DB1A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§2732(k). OPA required funding for each RCAC to be provided by owners and operators of oil facilities and tankers: “Approval of the contingency plans required of owners and operators of the Cook Inlet and Prince William Sound terminal facilities and crude oil tankers while operating in Alaskan waters in commerce with those terminal facilities shall be effective only so long as the respective Association and Council for a facility are funded…”.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B03"/>
    <w:multiLevelType w:val="hybridMultilevel"/>
    <w:tmpl w:val="3ABE05A6"/>
    <w:lvl w:ilvl="0" w:tplc="13A2715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E1BF5"/>
    <w:multiLevelType w:val="hybridMultilevel"/>
    <w:tmpl w:val="55B691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84D19"/>
    <w:multiLevelType w:val="hybridMultilevel"/>
    <w:tmpl w:val="AFC46748"/>
    <w:lvl w:ilvl="0" w:tplc="D64E0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E24596"/>
    <w:multiLevelType w:val="hybridMultilevel"/>
    <w:tmpl w:val="4F90D60A"/>
    <w:lvl w:ilvl="0" w:tplc="4E346E86">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F0BE4"/>
    <w:multiLevelType w:val="hybridMultilevel"/>
    <w:tmpl w:val="923C6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9004993">
    <w:abstractNumId w:val="10"/>
  </w:num>
  <w:num w:numId="2" w16cid:durableId="347828950">
    <w:abstractNumId w:val="6"/>
  </w:num>
  <w:num w:numId="3" w16cid:durableId="1439444097">
    <w:abstractNumId w:val="2"/>
  </w:num>
  <w:num w:numId="4" w16cid:durableId="904610798">
    <w:abstractNumId w:val="2"/>
  </w:num>
  <w:num w:numId="5" w16cid:durableId="495533081">
    <w:abstractNumId w:val="9"/>
  </w:num>
  <w:num w:numId="6" w16cid:durableId="680081388">
    <w:abstractNumId w:val="1"/>
  </w:num>
  <w:num w:numId="7" w16cid:durableId="1450852394">
    <w:abstractNumId w:val="8"/>
  </w:num>
  <w:num w:numId="8" w16cid:durableId="1006058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4"/>
  </w:num>
  <w:num w:numId="10" w16cid:durableId="1924299134">
    <w:abstractNumId w:val="4"/>
  </w:num>
  <w:num w:numId="11" w16cid:durableId="767506773">
    <w:abstractNumId w:val="4"/>
  </w:num>
  <w:num w:numId="12" w16cid:durableId="19354956">
    <w:abstractNumId w:val="4"/>
  </w:num>
  <w:num w:numId="13" w16cid:durableId="1494683937">
    <w:abstractNumId w:val="4"/>
  </w:num>
  <w:num w:numId="14" w16cid:durableId="1004432313">
    <w:abstractNumId w:val="11"/>
  </w:num>
  <w:num w:numId="15" w16cid:durableId="1258054335">
    <w:abstractNumId w:val="5"/>
  </w:num>
  <w:num w:numId="16" w16cid:durableId="888027749">
    <w:abstractNumId w:val="5"/>
  </w:num>
  <w:num w:numId="17" w16cid:durableId="80490269">
    <w:abstractNumId w:val="3"/>
  </w:num>
  <w:num w:numId="18" w16cid:durableId="1242374691">
    <w:abstractNumId w:val="12"/>
  </w:num>
  <w:num w:numId="19" w16cid:durableId="734856281">
    <w:abstractNumId w:val="7"/>
  </w:num>
  <w:num w:numId="20" w16cid:durableId="166882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4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5A"/>
    <w:rsid w:val="00001BBE"/>
    <w:rsid w:val="00001F84"/>
    <w:rsid w:val="00002C22"/>
    <w:rsid w:val="000030A7"/>
    <w:rsid w:val="000111F1"/>
    <w:rsid w:val="00032E98"/>
    <w:rsid w:val="00037E27"/>
    <w:rsid w:val="000507D9"/>
    <w:rsid w:val="000569F3"/>
    <w:rsid w:val="0006514E"/>
    <w:rsid w:val="000654AE"/>
    <w:rsid w:val="000830DC"/>
    <w:rsid w:val="00092F91"/>
    <w:rsid w:val="00093C95"/>
    <w:rsid w:val="000A2285"/>
    <w:rsid w:val="000A3C2A"/>
    <w:rsid w:val="000A78FF"/>
    <w:rsid w:val="000C10B4"/>
    <w:rsid w:val="000C501C"/>
    <w:rsid w:val="000D5A10"/>
    <w:rsid w:val="000E095D"/>
    <w:rsid w:val="000E7E7C"/>
    <w:rsid w:val="000F270A"/>
    <w:rsid w:val="000F28B7"/>
    <w:rsid w:val="0010375D"/>
    <w:rsid w:val="001110C4"/>
    <w:rsid w:val="00111C32"/>
    <w:rsid w:val="001179AE"/>
    <w:rsid w:val="00121621"/>
    <w:rsid w:val="001309ED"/>
    <w:rsid w:val="00162E1A"/>
    <w:rsid w:val="001733C0"/>
    <w:rsid w:val="00174C37"/>
    <w:rsid w:val="0018237F"/>
    <w:rsid w:val="001B2E8A"/>
    <w:rsid w:val="001B5919"/>
    <w:rsid w:val="001C581E"/>
    <w:rsid w:val="001D2A5E"/>
    <w:rsid w:val="001E274D"/>
    <w:rsid w:val="001F4086"/>
    <w:rsid w:val="00264D1B"/>
    <w:rsid w:val="00270FB3"/>
    <w:rsid w:val="00275C10"/>
    <w:rsid w:val="002868F0"/>
    <w:rsid w:val="002A529A"/>
    <w:rsid w:val="002D19D1"/>
    <w:rsid w:val="002D7A5A"/>
    <w:rsid w:val="002E398F"/>
    <w:rsid w:val="002E4FB8"/>
    <w:rsid w:val="002E5D46"/>
    <w:rsid w:val="002E71CD"/>
    <w:rsid w:val="00300F4F"/>
    <w:rsid w:val="003034B4"/>
    <w:rsid w:val="00316D3C"/>
    <w:rsid w:val="003210C2"/>
    <w:rsid w:val="00326414"/>
    <w:rsid w:val="00336ECB"/>
    <w:rsid w:val="00342777"/>
    <w:rsid w:val="003505CB"/>
    <w:rsid w:val="003563B5"/>
    <w:rsid w:val="00361CA3"/>
    <w:rsid w:val="00363C22"/>
    <w:rsid w:val="003645E7"/>
    <w:rsid w:val="00371993"/>
    <w:rsid w:val="003839A4"/>
    <w:rsid w:val="003B5E43"/>
    <w:rsid w:val="003D276F"/>
    <w:rsid w:val="003D3209"/>
    <w:rsid w:val="003E4913"/>
    <w:rsid w:val="003F06B6"/>
    <w:rsid w:val="003F0A62"/>
    <w:rsid w:val="004030BD"/>
    <w:rsid w:val="00411635"/>
    <w:rsid w:val="004374CA"/>
    <w:rsid w:val="00445E4C"/>
    <w:rsid w:val="00474E75"/>
    <w:rsid w:val="004B0B3D"/>
    <w:rsid w:val="004B139B"/>
    <w:rsid w:val="004C4F48"/>
    <w:rsid w:val="004C698A"/>
    <w:rsid w:val="004E4EF4"/>
    <w:rsid w:val="004F001F"/>
    <w:rsid w:val="004F2AC8"/>
    <w:rsid w:val="005027F9"/>
    <w:rsid w:val="00504968"/>
    <w:rsid w:val="00505114"/>
    <w:rsid w:val="005174DA"/>
    <w:rsid w:val="00523084"/>
    <w:rsid w:val="0053792F"/>
    <w:rsid w:val="00566BB0"/>
    <w:rsid w:val="00580E41"/>
    <w:rsid w:val="005870E8"/>
    <w:rsid w:val="00594C19"/>
    <w:rsid w:val="00595C5D"/>
    <w:rsid w:val="0059726A"/>
    <w:rsid w:val="005A1008"/>
    <w:rsid w:val="005C5AE8"/>
    <w:rsid w:val="00601C51"/>
    <w:rsid w:val="006235C1"/>
    <w:rsid w:val="006465B2"/>
    <w:rsid w:val="0064788F"/>
    <w:rsid w:val="00652B17"/>
    <w:rsid w:val="00652C1A"/>
    <w:rsid w:val="00684C70"/>
    <w:rsid w:val="0069687D"/>
    <w:rsid w:val="006A04F8"/>
    <w:rsid w:val="006A09CB"/>
    <w:rsid w:val="006C5A3B"/>
    <w:rsid w:val="006F68A8"/>
    <w:rsid w:val="006F6E13"/>
    <w:rsid w:val="00702071"/>
    <w:rsid w:val="00715182"/>
    <w:rsid w:val="00715A88"/>
    <w:rsid w:val="00724004"/>
    <w:rsid w:val="007377EC"/>
    <w:rsid w:val="00752BFB"/>
    <w:rsid w:val="00754A11"/>
    <w:rsid w:val="00760AE5"/>
    <w:rsid w:val="00770785"/>
    <w:rsid w:val="00785255"/>
    <w:rsid w:val="007A02DD"/>
    <w:rsid w:val="007C2200"/>
    <w:rsid w:val="007D1A1E"/>
    <w:rsid w:val="007F5409"/>
    <w:rsid w:val="007F6A59"/>
    <w:rsid w:val="00800F1B"/>
    <w:rsid w:val="00806AF1"/>
    <w:rsid w:val="00815526"/>
    <w:rsid w:val="0082604F"/>
    <w:rsid w:val="00833ED4"/>
    <w:rsid w:val="00845ADF"/>
    <w:rsid w:val="008469E9"/>
    <w:rsid w:val="008537EE"/>
    <w:rsid w:val="00865BE0"/>
    <w:rsid w:val="008A59E8"/>
    <w:rsid w:val="008C26BD"/>
    <w:rsid w:val="008C2BC7"/>
    <w:rsid w:val="008F1242"/>
    <w:rsid w:val="008F69E3"/>
    <w:rsid w:val="008F6EE0"/>
    <w:rsid w:val="00922702"/>
    <w:rsid w:val="0092344D"/>
    <w:rsid w:val="009269F2"/>
    <w:rsid w:val="00927442"/>
    <w:rsid w:val="009305F7"/>
    <w:rsid w:val="00935A9A"/>
    <w:rsid w:val="00951521"/>
    <w:rsid w:val="009547B8"/>
    <w:rsid w:val="00961FE9"/>
    <w:rsid w:val="00971ECE"/>
    <w:rsid w:val="00976B7E"/>
    <w:rsid w:val="00980257"/>
    <w:rsid w:val="00987B8D"/>
    <w:rsid w:val="0099441A"/>
    <w:rsid w:val="009A532E"/>
    <w:rsid w:val="009A68B5"/>
    <w:rsid w:val="009B33CB"/>
    <w:rsid w:val="009D3DDB"/>
    <w:rsid w:val="009E5CC2"/>
    <w:rsid w:val="009F03E7"/>
    <w:rsid w:val="009F0880"/>
    <w:rsid w:val="00A232EB"/>
    <w:rsid w:val="00A42495"/>
    <w:rsid w:val="00A44EB9"/>
    <w:rsid w:val="00A651A2"/>
    <w:rsid w:val="00A66CAA"/>
    <w:rsid w:val="00A73A87"/>
    <w:rsid w:val="00A77214"/>
    <w:rsid w:val="00A912E1"/>
    <w:rsid w:val="00A9165F"/>
    <w:rsid w:val="00AC0296"/>
    <w:rsid w:val="00AC54A8"/>
    <w:rsid w:val="00AC6E4A"/>
    <w:rsid w:val="00AF337F"/>
    <w:rsid w:val="00B02DCE"/>
    <w:rsid w:val="00B119ED"/>
    <w:rsid w:val="00B214A7"/>
    <w:rsid w:val="00B3767A"/>
    <w:rsid w:val="00B4640B"/>
    <w:rsid w:val="00B567CA"/>
    <w:rsid w:val="00B82479"/>
    <w:rsid w:val="00B864EF"/>
    <w:rsid w:val="00B91C25"/>
    <w:rsid w:val="00B95B8A"/>
    <w:rsid w:val="00BA0055"/>
    <w:rsid w:val="00BB2877"/>
    <w:rsid w:val="00BC31D9"/>
    <w:rsid w:val="00BD43E0"/>
    <w:rsid w:val="00BF0894"/>
    <w:rsid w:val="00BF089B"/>
    <w:rsid w:val="00C20B28"/>
    <w:rsid w:val="00C360EB"/>
    <w:rsid w:val="00C45299"/>
    <w:rsid w:val="00C51C9F"/>
    <w:rsid w:val="00C557BB"/>
    <w:rsid w:val="00C64D59"/>
    <w:rsid w:val="00C727A9"/>
    <w:rsid w:val="00C77C43"/>
    <w:rsid w:val="00C80208"/>
    <w:rsid w:val="00C805EA"/>
    <w:rsid w:val="00C90860"/>
    <w:rsid w:val="00CA14F2"/>
    <w:rsid w:val="00CA31D4"/>
    <w:rsid w:val="00CA406E"/>
    <w:rsid w:val="00CA6635"/>
    <w:rsid w:val="00CA729F"/>
    <w:rsid w:val="00CC0403"/>
    <w:rsid w:val="00CC3705"/>
    <w:rsid w:val="00CD37D4"/>
    <w:rsid w:val="00CF7C9E"/>
    <w:rsid w:val="00D044C5"/>
    <w:rsid w:val="00D13F1F"/>
    <w:rsid w:val="00D15C57"/>
    <w:rsid w:val="00D17D19"/>
    <w:rsid w:val="00D24F71"/>
    <w:rsid w:val="00D250A3"/>
    <w:rsid w:val="00D42835"/>
    <w:rsid w:val="00D454D2"/>
    <w:rsid w:val="00D60147"/>
    <w:rsid w:val="00D95387"/>
    <w:rsid w:val="00DA3F03"/>
    <w:rsid w:val="00DD44C5"/>
    <w:rsid w:val="00DE1182"/>
    <w:rsid w:val="00DE47C7"/>
    <w:rsid w:val="00DE6E7F"/>
    <w:rsid w:val="00DF3112"/>
    <w:rsid w:val="00DF4356"/>
    <w:rsid w:val="00E008B7"/>
    <w:rsid w:val="00E12C3E"/>
    <w:rsid w:val="00E36C02"/>
    <w:rsid w:val="00E44C5D"/>
    <w:rsid w:val="00E458CD"/>
    <w:rsid w:val="00E55913"/>
    <w:rsid w:val="00E62D3A"/>
    <w:rsid w:val="00E72259"/>
    <w:rsid w:val="00E860BC"/>
    <w:rsid w:val="00E905E6"/>
    <w:rsid w:val="00E94B3D"/>
    <w:rsid w:val="00E95790"/>
    <w:rsid w:val="00EA1A02"/>
    <w:rsid w:val="00EB575F"/>
    <w:rsid w:val="00ED1CFB"/>
    <w:rsid w:val="00ED4717"/>
    <w:rsid w:val="00ED4FB2"/>
    <w:rsid w:val="00ED504B"/>
    <w:rsid w:val="00F03BC6"/>
    <w:rsid w:val="00F14472"/>
    <w:rsid w:val="00F21E70"/>
    <w:rsid w:val="00F25FD3"/>
    <w:rsid w:val="00F33A9C"/>
    <w:rsid w:val="00F64CC2"/>
    <w:rsid w:val="00F65BF6"/>
    <w:rsid w:val="00F72019"/>
    <w:rsid w:val="00F85C14"/>
    <w:rsid w:val="00FA2D97"/>
    <w:rsid w:val="00FA4F3D"/>
    <w:rsid w:val="00FC1D30"/>
    <w:rsid w:val="00FC552F"/>
    <w:rsid w:val="00FC5D5D"/>
    <w:rsid w:val="00FE15ED"/>
    <w:rsid w:val="00FE466C"/>
    <w:rsid w:val="00FF0F7D"/>
    <w:rsid w:val="00FF267F"/>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E49"/>
  <w15:chartTrackingRefBased/>
  <w15:docId w15:val="{6D24AE2C-D8C3-634C-9E31-EDF15DD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2D7A5A"/>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2D7A5A"/>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2D7A5A"/>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2D7A5A"/>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2D7A5A"/>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2D7A5A"/>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2D7A5A"/>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2D7A5A"/>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aliases w:val="footnote ref Bell"/>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0111F1"/>
    <w:pPr>
      <w:numPr>
        <w:numId w:val="1"/>
      </w:numPr>
      <w:spacing w:before="60" w:after="60"/>
      <w:contextualSpacing w:val="0"/>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paragraph" w:customStyle="1" w:styleId="bEndnoteText">
    <w:name w:val="b Endnote Text"/>
    <w:basedOn w:val="EndnoteText"/>
    <w:link w:val="bEndnoteTextChar"/>
    <w:qFormat/>
    <w:rsid w:val="00E55913"/>
    <w:rPr>
      <w:rFonts w:ascii="Belleza" w:hAnsi="Belleza"/>
      <w:bCs/>
    </w:rPr>
  </w:style>
  <w:style w:type="character" w:customStyle="1" w:styleId="bEndnoteTextChar">
    <w:name w:val="b Endnote Text Char"/>
    <w:basedOn w:val="EndnoteTextChar"/>
    <w:link w:val="bEndnoteText"/>
    <w:rsid w:val="00E55913"/>
    <w:rPr>
      <w:rFonts w:ascii="Belleza" w:hAnsi="Belleza"/>
      <w:bCs/>
      <w:sz w:val="20"/>
      <w:szCs w:val="29"/>
    </w:rPr>
  </w:style>
  <w:style w:type="character" w:customStyle="1" w:styleId="Heading2Char">
    <w:name w:val="Heading 2 Char"/>
    <w:basedOn w:val="DefaultParagraphFont"/>
    <w:link w:val="Heading2"/>
    <w:uiPriority w:val="9"/>
    <w:semiHidden/>
    <w:rsid w:val="002D7A5A"/>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2D7A5A"/>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2D7A5A"/>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2D7A5A"/>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2D7A5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2D7A5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D7A5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D7A5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2D7A5A"/>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2D7A5A"/>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2D7A5A"/>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2D7A5A"/>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2D7A5A"/>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2D7A5A"/>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2D7A5A"/>
    <w:rPr>
      <w:i/>
      <w:iCs/>
      <w:color w:val="0F4761" w:themeColor="accent1" w:themeShade="BF"/>
    </w:rPr>
  </w:style>
  <w:style w:type="paragraph" w:styleId="IntenseQuote">
    <w:name w:val="Intense Quote"/>
    <w:basedOn w:val="Normal"/>
    <w:next w:val="Normal"/>
    <w:link w:val="IntenseQuoteChar"/>
    <w:uiPriority w:val="30"/>
    <w:qFormat/>
    <w:rsid w:val="002D7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2D7A5A"/>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2D7A5A"/>
    <w:rPr>
      <w:b/>
      <w:bCs/>
      <w:smallCaps/>
      <w:color w:val="0F4761" w:themeColor="accent1" w:themeShade="BF"/>
      <w:spacing w:val="5"/>
    </w:rPr>
  </w:style>
  <w:style w:type="character" w:styleId="Hyperlink">
    <w:name w:val="Hyperlink"/>
    <w:basedOn w:val="DefaultParagraphFont"/>
    <w:uiPriority w:val="99"/>
    <w:unhideWhenUsed/>
    <w:rsid w:val="002D7A5A"/>
    <w:rPr>
      <w:color w:val="467886" w:themeColor="hyperlink"/>
      <w:u w:val="single"/>
    </w:rPr>
  </w:style>
  <w:style w:type="character" w:styleId="UnresolvedMention">
    <w:name w:val="Unresolved Mention"/>
    <w:basedOn w:val="DefaultParagraphFont"/>
    <w:uiPriority w:val="99"/>
    <w:semiHidden/>
    <w:unhideWhenUsed/>
    <w:rsid w:val="004C4F48"/>
    <w:rPr>
      <w:color w:val="605E5C"/>
      <w:shd w:val="clear" w:color="auto" w:fill="E1DFDD"/>
    </w:rPr>
  </w:style>
  <w:style w:type="character" w:styleId="FollowedHyperlink">
    <w:name w:val="FollowedHyperlink"/>
    <w:basedOn w:val="DefaultParagraphFont"/>
    <w:uiPriority w:val="99"/>
    <w:semiHidden/>
    <w:unhideWhenUsed/>
    <w:rsid w:val="00FA4F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4354">
      <w:bodyDiv w:val="1"/>
      <w:marLeft w:val="0"/>
      <w:marRight w:val="0"/>
      <w:marTop w:val="0"/>
      <w:marBottom w:val="0"/>
      <w:divBdr>
        <w:top w:val="none" w:sz="0" w:space="0" w:color="auto"/>
        <w:left w:val="none" w:sz="0" w:space="0" w:color="auto"/>
        <w:bottom w:val="none" w:sz="0" w:space="0" w:color="auto"/>
        <w:right w:val="none" w:sz="0" w:space="0" w:color="auto"/>
      </w:divBdr>
    </w:div>
    <w:div w:id="546114538">
      <w:bodyDiv w:val="1"/>
      <w:marLeft w:val="0"/>
      <w:marRight w:val="0"/>
      <w:marTop w:val="0"/>
      <w:marBottom w:val="0"/>
      <w:divBdr>
        <w:top w:val="none" w:sz="0" w:space="0" w:color="auto"/>
        <w:left w:val="none" w:sz="0" w:space="0" w:color="auto"/>
        <w:bottom w:val="none" w:sz="0" w:space="0" w:color="auto"/>
        <w:right w:val="none" w:sz="0" w:space="0" w:color="auto"/>
      </w:divBdr>
    </w:div>
    <w:div w:id="891888514">
      <w:bodyDiv w:val="1"/>
      <w:marLeft w:val="0"/>
      <w:marRight w:val="0"/>
      <w:marTop w:val="0"/>
      <w:marBottom w:val="0"/>
      <w:divBdr>
        <w:top w:val="none" w:sz="0" w:space="0" w:color="auto"/>
        <w:left w:val="none" w:sz="0" w:space="0" w:color="auto"/>
        <w:bottom w:val="none" w:sz="0" w:space="0" w:color="auto"/>
        <w:right w:val="none" w:sz="0" w:space="0" w:color="auto"/>
      </w:divBdr>
    </w:div>
    <w:div w:id="18004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melville@alaska.gov" TargetMode="External"/><Relationship Id="rId13" Type="http://schemas.openxmlformats.org/officeDocument/2006/relationships/hyperlink" Target="mailto:muller.lori@ep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es.c.mcferran@uscg.mi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olie.Mary@epa.gov" TargetMode="External"/><Relationship Id="rId5" Type="http://schemas.openxmlformats.org/officeDocument/2006/relationships/webSettings" Target="webSettings.xml"/><Relationship Id="rId15" Type="http://schemas.openxmlformats.org/officeDocument/2006/relationships/hyperlink" Target="mailto:riki@alertprooject.org" TargetMode="External"/><Relationship Id="rId10" Type="http://schemas.openxmlformats.org/officeDocument/2006/relationships/hyperlink" Target="mailto:brian.a.meier@uscg.mi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heldrake.beth@epa.gov" TargetMode="External"/><Relationship Id="rId14" Type="http://schemas.openxmlformats.org/officeDocument/2006/relationships/hyperlink" Target="mailto:jamie.n.waterman@uscg.m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lertproject.org/wp-content/uploads/2024/08/EPA-DELIST-petition-FINAL.pdf" TargetMode="External"/><Relationship Id="rId3" Type="http://schemas.openxmlformats.org/officeDocument/2006/relationships/hyperlink" Target="https://www.nrt.org/sites/2/files/ERHMS_Final_060512.pdf" TargetMode="External"/><Relationship Id="rId7" Type="http://schemas.openxmlformats.org/officeDocument/2006/relationships/hyperlink" Target="https://tiltresearch.org/self-assessment/" TargetMode="External"/><Relationship Id="rId2" Type="http://schemas.openxmlformats.org/officeDocument/2006/relationships/hyperlink" Target="https://nrt.org/sites/2/files/GPO-OILCOMMISSION.pdf" TargetMode="External"/><Relationship Id="rId1" Type="http://schemas.openxmlformats.org/officeDocument/2006/relationships/hyperlink" Target="https://media.defense.gov/2022/Nov/17/2003116850/-1/-1/0/CIM_16000_14A.PDF" TargetMode="External"/><Relationship Id="rId6" Type="http://schemas.openxmlformats.org/officeDocument/2006/relationships/hyperlink" Target="https://doi.org/10.1186/s12302-021-00570-3" TargetMode="External"/><Relationship Id="rId5" Type="http://schemas.openxmlformats.org/officeDocument/2006/relationships/hyperlink" Target="https://doi.org/10.1186/s12302-021-00504-z" TargetMode="External"/><Relationship Id="rId10" Type="http://schemas.openxmlformats.org/officeDocument/2006/relationships/hyperlink" Target="https://alertproject.org/wp-content/uploads/2024/02/ALERT240212-Opportunity-FINALrev.pdf" TargetMode="External"/><Relationship Id="rId4" Type="http://schemas.openxmlformats.org/officeDocument/2006/relationships/hyperlink" Target="https://www.rrt10nwac.com/" TargetMode="External"/><Relationship Id="rId9" Type="http://schemas.openxmlformats.org/officeDocument/2006/relationships/hyperlink" Target="https://alertproject.org/wp-content/uploads/2024/04/corexitenvi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435-57ED-5744-9555-A8D6F9A9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5</cp:revision>
  <dcterms:created xsi:type="dcterms:W3CDTF">2024-11-15T18:10:00Z</dcterms:created>
  <dcterms:modified xsi:type="dcterms:W3CDTF">2024-11-15T18:42:00Z</dcterms:modified>
</cp:coreProperties>
</file>